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jc w:val="center"/>
        <w:rPr>
          <w:rFonts w:ascii="仿宋" w:hAnsi="仿宋" w:eastAsia="仿宋"/>
          <w:color w:val="333333"/>
          <w:sz w:val="36"/>
          <w:szCs w:val="36"/>
        </w:rPr>
      </w:pPr>
      <w:r>
        <w:rPr>
          <w:rFonts w:hint="eastAsia" w:ascii="仿宋" w:hAnsi="仿宋" w:eastAsia="仿宋"/>
          <w:color w:val="333333"/>
          <w:sz w:val="36"/>
          <w:szCs w:val="36"/>
        </w:rPr>
        <w:t>中国地质大学（北京）经济管理学院</w:t>
      </w:r>
      <w:bookmarkStart w:id="1" w:name="_GoBack"/>
      <w:bookmarkEnd w:id="1"/>
    </w:p>
    <w:p>
      <w:pPr>
        <w:pStyle w:val="2"/>
        <w:shd w:val="clear" w:color="auto" w:fill="FFFFFF"/>
        <w:spacing w:before="0" w:beforeAutospacing="0" w:after="0" w:afterAutospacing="0"/>
        <w:jc w:val="center"/>
        <w:rPr>
          <w:rFonts w:hint="eastAsia" w:ascii="仿宋" w:hAnsi="仿宋" w:eastAsia="仿宋"/>
          <w:color w:val="333333"/>
          <w:sz w:val="36"/>
          <w:szCs w:val="36"/>
          <w:lang w:eastAsia="zh-CN"/>
        </w:rPr>
      </w:pPr>
      <w:r>
        <w:rPr>
          <w:rFonts w:hint="eastAsia" w:ascii="仿宋" w:hAnsi="仿宋" w:eastAsia="仿宋"/>
          <w:color w:val="333333"/>
          <w:sz w:val="36"/>
          <w:szCs w:val="36"/>
        </w:rPr>
        <w:t>2023年</w:t>
      </w:r>
      <w:r>
        <w:rPr>
          <w:rFonts w:hint="eastAsia" w:ascii="仿宋" w:hAnsi="仿宋" w:eastAsia="仿宋"/>
          <w:color w:val="333333"/>
          <w:sz w:val="36"/>
          <w:szCs w:val="36"/>
          <w:lang w:val="en-US" w:eastAsia="zh-CN"/>
        </w:rPr>
        <w:t>非全日制金融</w:t>
      </w:r>
      <w:r>
        <w:rPr>
          <w:rFonts w:hint="eastAsia" w:ascii="仿宋" w:hAnsi="仿宋" w:eastAsia="仿宋"/>
          <w:color w:val="333333"/>
          <w:sz w:val="36"/>
          <w:szCs w:val="36"/>
        </w:rPr>
        <w:t>硕士研究生接收调剂公告</w:t>
      </w:r>
      <w:r>
        <w:rPr>
          <w:rFonts w:hint="eastAsia" w:ascii="仿宋" w:hAnsi="仿宋" w:eastAsia="仿宋"/>
          <w:color w:val="333333"/>
          <w:sz w:val="36"/>
          <w:szCs w:val="36"/>
          <w:lang w:eastAsia="zh-CN"/>
        </w:rPr>
        <w:t>（</w:t>
      </w:r>
      <w:r>
        <w:rPr>
          <w:rFonts w:hint="eastAsia" w:ascii="仿宋" w:hAnsi="仿宋" w:eastAsia="仿宋"/>
          <w:color w:val="333333"/>
          <w:sz w:val="36"/>
          <w:szCs w:val="36"/>
          <w:lang w:val="en-US" w:eastAsia="zh-CN"/>
        </w:rPr>
        <w:t>第三批</w:t>
      </w:r>
      <w:r>
        <w:rPr>
          <w:rFonts w:hint="eastAsia" w:ascii="仿宋" w:hAnsi="仿宋" w:eastAsia="仿宋"/>
          <w:color w:val="333333"/>
          <w:sz w:val="36"/>
          <w:szCs w:val="36"/>
          <w:lang w:eastAsia="zh-CN"/>
        </w:rPr>
        <w:t>）</w:t>
      </w:r>
    </w:p>
    <w:p>
      <w:pPr>
        <w:widowControl/>
        <w:shd w:val="clear" w:color="auto" w:fill="FFFFFF"/>
        <w:spacing w:line="360" w:lineRule="atLeast"/>
        <w:rPr>
          <w:rFonts w:ascii="仿宋" w:hAnsi="仿宋" w:eastAsia="仿宋" w:cs="宋体"/>
          <w:color w:val="000000"/>
          <w:kern w:val="0"/>
          <w:sz w:val="32"/>
          <w:szCs w:val="32"/>
          <w:shd w:val="clear" w:color="auto" w:fill="FFFFFF"/>
        </w:rPr>
      </w:pPr>
    </w:p>
    <w:p>
      <w:pPr>
        <w:widowControl/>
        <w:shd w:val="clear" w:color="auto" w:fill="FFFFFF"/>
        <w:spacing w:line="360" w:lineRule="atLeast"/>
        <w:ind w:firstLine="560" w:firstLineChars="200"/>
        <w:rPr>
          <w:rFonts w:ascii="仿宋" w:hAnsi="仿宋" w:eastAsia="仿宋" w:cs="宋体"/>
          <w:color w:val="000000"/>
          <w:kern w:val="0"/>
          <w:sz w:val="28"/>
          <w:szCs w:val="28"/>
          <w:shd w:val="clear" w:color="auto" w:fill="FFFFFF"/>
        </w:rPr>
      </w:pPr>
      <w:r>
        <w:rPr>
          <w:rFonts w:hint="eastAsia" w:ascii="仿宋" w:hAnsi="仿宋" w:eastAsia="仿宋" w:cs="宋体"/>
          <w:color w:val="000000"/>
          <w:kern w:val="0"/>
          <w:sz w:val="28"/>
          <w:szCs w:val="28"/>
          <w:shd w:val="clear" w:color="auto" w:fill="FFFFFF"/>
        </w:rPr>
        <w:t>根据教育部和北京市教育考试院相关文件要求，结合我院2023年硕士研究生招生计划和招生情况，现公布2023年第</w:t>
      </w:r>
      <w:r>
        <w:rPr>
          <w:rFonts w:hint="eastAsia" w:ascii="仿宋" w:hAnsi="仿宋" w:eastAsia="仿宋" w:cs="宋体"/>
          <w:color w:val="000000"/>
          <w:kern w:val="0"/>
          <w:sz w:val="28"/>
          <w:szCs w:val="28"/>
          <w:shd w:val="clear" w:color="auto" w:fill="FFFFFF"/>
          <w:lang w:eastAsia="zh-CN"/>
        </w:rPr>
        <w:t>三</w:t>
      </w:r>
      <w:r>
        <w:rPr>
          <w:rFonts w:hint="eastAsia" w:ascii="仿宋" w:hAnsi="仿宋" w:eastAsia="仿宋" w:cs="宋体"/>
          <w:color w:val="000000"/>
          <w:kern w:val="0"/>
          <w:sz w:val="28"/>
          <w:szCs w:val="28"/>
          <w:shd w:val="clear" w:color="auto" w:fill="FFFFFF"/>
          <w:lang w:val="en-US" w:eastAsia="zh-CN"/>
        </w:rPr>
        <w:t>批金融</w:t>
      </w:r>
      <w:r>
        <w:rPr>
          <w:rFonts w:hint="eastAsia" w:ascii="仿宋" w:hAnsi="仿宋" w:eastAsia="仿宋" w:cs="宋体"/>
          <w:color w:val="000000"/>
          <w:kern w:val="0"/>
          <w:sz w:val="28"/>
          <w:szCs w:val="28"/>
          <w:shd w:val="clear" w:color="auto" w:fill="FFFFFF"/>
        </w:rPr>
        <w:t>硕士研究生拟调剂信息，具体信息以我</w:t>
      </w:r>
      <w:r>
        <w:rPr>
          <w:rFonts w:hint="eastAsia" w:ascii="仿宋" w:hAnsi="仿宋" w:eastAsia="仿宋" w:cs="宋体"/>
          <w:color w:val="000000"/>
          <w:kern w:val="0"/>
          <w:sz w:val="28"/>
          <w:szCs w:val="28"/>
          <w:shd w:val="clear" w:color="auto" w:fill="FFFFFF"/>
          <w:lang w:val="en-US" w:eastAsia="zh-CN"/>
        </w:rPr>
        <w:t>院</w:t>
      </w:r>
      <w:r>
        <w:rPr>
          <w:rFonts w:hint="eastAsia" w:ascii="仿宋" w:hAnsi="仿宋" w:eastAsia="仿宋" w:cs="宋体"/>
          <w:color w:val="000000"/>
          <w:kern w:val="0"/>
          <w:sz w:val="28"/>
          <w:szCs w:val="28"/>
          <w:shd w:val="clear" w:color="auto" w:fill="FFFFFF"/>
        </w:rPr>
        <w:t>在“全国硕士研究生招生调剂服务系统”发布的调剂信息为准，欢迎有意向调剂的考生密切关注我校研究生招生网和经管学院网站。</w:t>
      </w:r>
    </w:p>
    <w:p>
      <w:pPr>
        <w:widowControl/>
        <w:shd w:val="clear" w:color="auto" w:fill="FFFFFF"/>
        <w:spacing w:line="360" w:lineRule="atLeast"/>
        <w:rPr>
          <w:rFonts w:ascii="仿宋" w:hAnsi="仿宋" w:eastAsia="仿宋" w:cs="宋体"/>
          <w:b/>
          <w:bCs/>
          <w:color w:val="000000"/>
          <w:kern w:val="0"/>
          <w:sz w:val="32"/>
          <w:szCs w:val="32"/>
        </w:rPr>
      </w:pPr>
      <w:r>
        <w:rPr>
          <w:rFonts w:hint="eastAsia" w:ascii="仿宋" w:hAnsi="仿宋" w:eastAsia="仿宋" w:cs="宋体"/>
          <w:b/>
          <w:bCs/>
          <w:color w:val="000000"/>
          <w:kern w:val="0"/>
          <w:sz w:val="32"/>
          <w:szCs w:val="32"/>
        </w:rPr>
        <w:t>一、拟接收调剂专业、指标和分数线</w:t>
      </w:r>
    </w:p>
    <w:tbl>
      <w:tblPr>
        <w:tblStyle w:val="6"/>
        <w:tblW w:w="9600" w:type="dxa"/>
        <w:tblInd w:w="7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Layout w:type="fixed"/>
        <w:tblCellMar>
          <w:top w:w="15" w:type="dxa"/>
          <w:left w:w="15" w:type="dxa"/>
          <w:bottom w:w="15" w:type="dxa"/>
          <w:right w:w="15" w:type="dxa"/>
        </w:tblCellMar>
      </w:tblPr>
      <w:tblGrid>
        <w:gridCol w:w="1162"/>
        <w:gridCol w:w="913"/>
        <w:gridCol w:w="1296"/>
        <w:gridCol w:w="1366"/>
        <w:gridCol w:w="1068"/>
        <w:gridCol w:w="1518"/>
        <w:gridCol w:w="1358"/>
        <w:gridCol w:w="91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50" w:hRule="atLeast"/>
        </w:trPr>
        <w:tc>
          <w:tcPr>
            <w:tcW w:w="1162" w:type="dxa"/>
            <w:vMerge w:val="restart"/>
            <w:shd w:val="clear" w:color="auto" w:fill="FFFFFF"/>
            <w:tcMar>
              <w:top w:w="0" w:type="dxa"/>
              <w:left w:w="108" w:type="dxa"/>
              <w:bottom w:w="0" w:type="dxa"/>
              <w:right w:w="108" w:type="dxa"/>
            </w:tcMar>
          </w:tcPr>
          <w:p>
            <w:pPr>
              <w:widowControl/>
              <w:spacing w:line="360" w:lineRule="atLeast"/>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学习方式</w:t>
            </w:r>
          </w:p>
        </w:tc>
        <w:tc>
          <w:tcPr>
            <w:tcW w:w="913" w:type="dxa"/>
            <w:vMerge w:val="restart"/>
            <w:shd w:val="clear" w:color="auto" w:fill="FFFFFF"/>
            <w:tcMar>
              <w:top w:w="0" w:type="dxa"/>
              <w:left w:w="108" w:type="dxa"/>
              <w:bottom w:w="0" w:type="dxa"/>
              <w:right w:w="108" w:type="dxa"/>
            </w:tcMar>
          </w:tcPr>
          <w:p>
            <w:pPr>
              <w:widowControl/>
              <w:spacing w:line="360" w:lineRule="atLeast"/>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类型</w:t>
            </w:r>
          </w:p>
        </w:tc>
        <w:tc>
          <w:tcPr>
            <w:tcW w:w="1296" w:type="dxa"/>
            <w:vMerge w:val="restart"/>
            <w:shd w:val="clear" w:color="auto" w:fill="FFFFFF"/>
            <w:tcMar>
              <w:top w:w="0" w:type="dxa"/>
              <w:left w:w="108" w:type="dxa"/>
              <w:bottom w:w="0" w:type="dxa"/>
              <w:right w:w="108" w:type="dxa"/>
            </w:tcMar>
          </w:tcPr>
          <w:p>
            <w:pPr>
              <w:widowControl/>
              <w:wordWrap w:val="0"/>
              <w:spacing w:line="360" w:lineRule="atLeast"/>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接收调剂专业</w:t>
            </w:r>
          </w:p>
        </w:tc>
        <w:tc>
          <w:tcPr>
            <w:tcW w:w="1366" w:type="dxa"/>
            <w:vMerge w:val="restart"/>
            <w:shd w:val="clear" w:color="auto" w:fill="FFFFFF"/>
            <w:tcMar>
              <w:top w:w="0" w:type="dxa"/>
              <w:left w:w="108" w:type="dxa"/>
              <w:bottom w:w="0" w:type="dxa"/>
              <w:right w:w="108" w:type="dxa"/>
            </w:tcMar>
          </w:tcPr>
          <w:p>
            <w:pPr>
              <w:widowControl/>
              <w:spacing w:line="360" w:lineRule="atLeast"/>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接收调剂方向</w:t>
            </w:r>
          </w:p>
        </w:tc>
        <w:tc>
          <w:tcPr>
            <w:tcW w:w="1068" w:type="dxa"/>
            <w:vMerge w:val="restart"/>
            <w:shd w:val="clear" w:color="auto" w:fill="FFFFFF"/>
            <w:tcMar>
              <w:top w:w="0" w:type="dxa"/>
              <w:left w:w="108" w:type="dxa"/>
              <w:bottom w:w="0" w:type="dxa"/>
              <w:right w:w="108" w:type="dxa"/>
            </w:tcMar>
          </w:tcPr>
          <w:p>
            <w:pPr>
              <w:widowControl/>
              <w:spacing w:line="360" w:lineRule="atLeast"/>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拟接收调剂指标</w:t>
            </w:r>
          </w:p>
        </w:tc>
        <w:tc>
          <w:tcPr>
            <w:tcW w:w="3795" w:type="dxa"/>
            <w:gridSpan w:val="3"/>
            <w:shd w:val="clear" w:color="auto" w:fill="FFFFFF"/>
            <w:tcMar>
              <w:top w:w="0" w:type="dxa"/>
              <w:left w:w="108" w:type="dxa"/>
              <w:bottom w:w="0" w:type="dxa"/>
              <w:right w:w="108" w:type="dxa"/>
            </w:tcMar>
          </w:tcPr>
          <w:p>
            <w:pPr>
              <w:widowControl/>
              <w:spacing w:line="360" w:lineRule="atLeast"/>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调剂分数线</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643" w:hRule="atLeast"/>
        </w:trPr>
        <w:tc>
          <w:tcPr>
            <w:tcW w:w="1162" w:type="dxa"/>
            <w:vMerge w:val="continue"/>
            <w:shd w:val="clear" w:color="auto" w:fill="FFFFFF"/>
            <w:tcMar>
              <w:top w:w="0" w:type="dxa"/>
              <w:left w:w="108" w:type="dxa"/>
              <w:bottom w:w="0" w:type="dxa"/>
              <w:right w:w="108" w:type="dxa"/>
            </w:tcMar>
          </w:tcPr>
          <w:p>
            <w:pPr>
              <w:widowControl/>
              <w:spacing w:line="360" w:lineRule="atLeast"/>
            </w:pPr>
          </w:p>
        </w:tc>
        <w:tc>
          <w:tcPr>
            <w:tcW w:w="913" w:type="dxa"/>
            <w:vMerge w:val="continue"/>
            <w:shd w:val="clear" w:color="auto" w:fill="FFFFFF"/>
            <w:tcMar>
              <w:top w:w="0" w:type="dxa"/>
              <w:left w:w="108" w:type="dxa"/>
              <w:bottom w:w="0" w:type="dxa"/>
              <w:right w:w="108" w:type="dxa"/>
            </w:tcMar>
          </w:tcPr>
          <w:p>
            <w:pPr>
              <w:widowControl/>
              <w:spacing w:line="360" w:lineRule="atLeast"/>
            </w:pPr>
          </w:p>
        </w:tc>
        <w:tc>
          <w:tcPr>
            <w:tcW w:w="1296" w:type="dxa"/>
            <w:vMerge w:val="continue"/>
            <w:shd w:val="clear" w:color="auto" w:fill="FFFFFF"/>
            <w:tcMar>
              <w:top w:w="0" w:type="dxa"/>
              <w:left w:w="108" w:type="dxa"/>
              <w:bottom w:w="0" w:type="dxa"/>
              <w:right w:w="108" w:type="dxa"/>
            </w:tcMar>
          </w:tcPr>
          <w:p>
            <w:pPr>
              <w:widowControl/>
              <w:spacing w:line="360" w:lineRule="atLeast"/>
            </w:pPr>
          </w:p>
        </w:tc>
        <w:tc>
          <w:tcPr>
            <w:tcW w:w="1366" w:type="dxa"/>
            <w:vMerge w:val="continue"/>
            <w:shd w:val="clear" w:color="auto" w:fill="FFFFFF"/>
            <w:tcMar>
              <w:top w:w="0" w:type="dxa"/>
              <w:left w:w="108" w:type="dxa"/>
              <w:bottom w:w="0" w:type="dxa"/>
              <w:right w:w="108" w:type="dxa"/>
            </w:tcMar>
          </w:tcPr>
          <w:p>
            <w:pPr>
              <w:widowControl/>
              <w:spacing w:line="360" w:lineRule="atLeast"/>
            </w:pPr>
          </w:p>
        </w:tc>
        <w:tc>
          <w:tcPr>
            <w:tcW w:w="1068" w:type="dxa"/>
            <w:vMerge w:val="continue"/>
            <w:shd w:val="clear" w:color="auto" w:fill="FFFFFF"/>
            <w:tcMar>
              <w:top w:w="0" w:type="dxa"/>
              <w:left w:w="108" w:type="dxa"/>
              <w:bottom w:w="0" w:type="dxa"/>
              <w:right w:w="108" w:type="dxa"/>
            </w:tcMar>
          </w:tcPr>
          <w:p>
            <w:pPr>
              <w:widowControl/>
              <w:spacing w:line="360" w:lineRule="atLeast"/>
            </w:pPr>
          </w:p>
        </w:tc>
        <w:tc>
          <w:tcPr>
            <w:tcW w:w="1518" w:type="dxa"/>
            <w:shd w:val="clear" w:color="auto" w:fill="FFFFFF"/>
            <w:tcMar>
              <w:top w:w="0" w:type="dxa"/>
              <w:left w:w="108" w:type="dxa"/>
              <w:bottom w:w="0" w:type="dxa"/>
              <w:right w:w="108" w:type="dxa"/>
            </w:tcMar>
          </w:tcPr>
          <w:p>
            <w:pPr>
              <w:widowControl/>
              <w:spacing w:line="360" w:lineRule="atLeast"/>
              <w:jc w:val="left"/>
              <w:rPr>
                <w:rFonts w:ascii="仿宋" w:hAnsi="仿宋" w:eastAsia="仿宋" w:cs="宋体"/>
                <w:color w:val="333333"/>
                <w:kern w:val="0"/>
                <w:sz w:val="24"/>
                <w:szCs w:val="24"/>
              </w:rPr>
            </w:pPr>
            <w:r>
              <w:rPr>
                <w:rFonts w:hint="eastAsia" w:ascii="仿宋" w:hAnsi="仿宋" w:eastAsia="仿宋" w:cs="宋体"/>
                <w:color w:val="333333"/>
                <w:kern w:val="0"/>
                <w:sz w:val="24"/>
                <w:szCs w:val="24"/>
              </w:rPr>
              <w:t>单科（满分=100分）</w:t>
            </w:r>
          </w:p>
        </w:tc>
        <w:tc>
          <w:tcPr>
            <w:tcW w:w="1358" w:type="dxa"/>
            <w:shd w:val="clear" w:color="auto" w:fill="FFFFFF"/>
            <w:tcMar>
              <w:top w:w="0" w:type="dxa"/>
              <w:left w:w="108" w:type="dxa"/>
              <w:bottom w:w="0" w:type="dxa"/>
              <w:right w:w="108" w:type="dxa"/>
            </w:tcMar>
          </w:tcPr>
          <w:p>
            <w:pPr>
              <w:widowControl/>
              <w:spacing w:line="360" w:lineRule="atLeast"/>
              <w:jc w:val="left"/>
              <w:rPr>
                <w:rFonts w:ascii="仿宋" w:hAnsi="仿宋" w:eastAsia="仿宋" w:cs="宋体"/>
                <w:color w:val="333333"/>
                <w:kern w:val="0"/>
                <w:sz w:val="24"/>
                <w:szCs w:val="24"/>
              </w:rPr>
            </w:pPr>
            <w:r>
              <w:rPr>
                <w:rFonts w:hint="eastAsia" w:ascii="仿宋" w:hAnsi="仿宋" w:eastAsia="仿宋" w:cs="宋体"/>
                <w:color w:val="333333"/>
                <w:kern w:val="0"/>
                <w:sz w:val="24"/>
                <w:szCs w:val="24"/>
              </w:rPr>
              <w:t>单科（满分&gt;100分）</w:t>
            </w:r>
          </w:p>
        </w:tc>
        <w:tc>
          <w:tcPr>
            <w:tcW w:w="919" w:type="dxa"/>
            <w:shd w:val="clear" w:color="auto" w:fill="FFFFFF"/>
            <w:tcMar>
              <w:top w:w="0" w:type="dxa"/>
              <w:left w:w="108" w:type="dxa"/>
              <w:bottom w:w="0" w:type="dxa"/>
              <w:right w:w="108" w:type="dxa"/>
            </w:tcMar>
          </w:tcPr>
          <w:p>
            <w:pPr>
              <w:widowControl/>
              <w:spacing w:line="360" w:lineRule="atLeast"/>
              <w:rPr>
                <w:rFonts w:ascii="仿宋" w:hAnsi="仿宋" w:eastAsia="仿宋" w:cs="宋体"/>
                <w:color w:val="333333"/>
                <w:kern w:val="0"/>
                <w:sz w:val="24"/>
                <w:szCs w:val="24"/>
              </w:rPr>
            </w:pPr>
            <w:r>
              <w:rPr>
                <w:rFonts w:hint="eastAsia" w:ascii="仿宋" w:hAnsi="仿宋" w:eastAsia="仿宋" w:cs="宋体"/>
                <w:color w:val="333333"/>
                <w:kern w:val="0"/>
                <w:sz w:val="24"/>
                <w:szCs w:val="24"/>
              </w:rPr>
              <w:t>总分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15" w:type="dxa"/>
            <w:left w:w="15" w:type="dxa"/>
            <w:bottom w:w="15" w:type="dxa"/>
            <w:right w:w="15" w:type="dxa"/>
          </w:tblCellMar>
        </w:tblPrEx>
        <w:tc>
          <w:tcPr>
            <w:tcW w:w="1162" w:type="dxa"/>
            <w:shd w:val="clear" w:color="auto" w:fill="FFFFFF"/>
            <w:tcMar>
              <w:top w:w="0" w:type="dxa"/>
              <w:left w:w="108" w:type="dxa"/>
              <w:bottom w:w="0" w:type="dxa"/>
              <w:right w:w="108" w:type="dxa"/>
            </w:tcMar>
            <w:vAlign w:val="center"/>
          </w:tcPr>
          <w:p>
            <w:pPr>
              <w:widowControl/>
              <w:wordWrap w:val="0"/>
              <w:spacing w:line="360" w:lineRule="atLeast"/>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非全日制（定向）</w:t>
            </w:r>
          </w:p>
        </w:tc>
        <w:tc>
          <w:tcPr>
            <w:tcW w:w="913" w:type="dxa"/>
            <w:shd w:val="clear" w:color="auto" w:fill="FFFFFF"/>
            <w:tcMar>
              <w:top w:w="0" w:type="dxa"/>
              <w:left w:w="108" w:type="dxa"/>
              <w:bottom w:w="0" w:type="dxa"/>
              <w:right w:w="108" w:type="dxa"/>
            </w:tcMar>
            <w:vAlign w:val="center"/>
          </w:tcPr>
          <w:p>
            <w:pPr>
              <w:widowControl/>
              <w:wordWrap w:val="0"/>
              <w:spacing w:line="360" w:lineRule="atLeast"/>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专业型</w:t>
            </w:r>
          </w:p>
        </w:tc>
        <w:tc>
          <w:tcPr>
            <w:tcW w:w="1296" w:type="dxa"/>
            <w:shd w:val="clear" w:color="auto" w:fill="FFFFFF"/>
            <w:tcMar>
              <w:top w:w="0" w:type="dxa"/>
              <w:left w:w="108" w:type="dxa"/>
              <w:bottom w:w="0" w:type="dxa"/>
              <w:right w:w="108" w:type="dxa"/>
            </w:tcMar>
            <w:vAlign w:val="center"/>
          </w:tcPr>
          <w:p>
            <w:pPr>
              <w:widowControl/>
              <w:wordWrap w:val="0"/>
              <w:spacing w:line="360" w:lineRule="atLeast"/>
              <w:jc w:val="center"/>
              <w:rPr>
                <w:rFonts w:ascii="仿宋" w:hAnsi="仿宋" w:eastAsia="仿宋" w:cs="宋体"/>
                <w:color w:val="333333"/>
                <w:kern w:val="0"/>
                <w:sz w:val="24"/>
                <w:szCs w:val="24"/>
              </w:rPr>
            </w:pPr>
            <w:r>
              <w:rPr>
                <w:rFonts w:ascii="仿宋" w:hAnsi="仿宋" w:eastAsia="仿宋" w:cs="宋体"/>
                <w:color w:val="333333"/>
                <w:kern w:val="0"/>
                <w:sz w:val="24"/>
                <w:szCs w:val="24"/>
              </w:rPr>
              <w:t>金融硕士</w:t>
            </w:r>
            <w:r>
              <w:rPr>
                <w:rFonts w:hint="eastAsia" w:ascii="仿宋" w:hAnsi="仿宋" w:eastAsia="仿宋" w:cs="宋体"/>
                <w:color w:val="333333"/>
                <w:kern w:val="0"/>
                <w:sz w:val="24"/>
                <w:szCs w:val="24"/>
              </w:rPr>
              <w:t>（MF）</w:t>
            </w:r>
          </w:p>
        </w:tc>
        <w:tc>
          <w:tcPr>
            <w:tcW w:w="1366" w:type="dxa"/>
            <w:shd w:val="clear" w:color="auto" w:fill="FFFFFF"/>
            <w:tcMar>
              <w:top w:w="0" w:type="dxa"/>
              <w:left w:w="108" w:type="dxa"/>
              <w:bottom w:w="0" w:type="dxa"/>
              <w:right w:w="108" w:type="dxa"/>
            </w:tcMar>
            <w:vAlign w:val="center"/>
          </w:tcPr>
          <w:p>
            <w:pPr>
              <w:widowControl/>
              <w:wordWrap w:val="0"/>
              <w:spacing w:line="360" w:lineRule="atLeast"/>
              <w:jc w:val="center"/>
              <w:rPr>
                <w:rFonts w:ascii="仿宋" w:hAnsi="仿宋" w:eastAsia="仿宋" w:cs="宋体"/>
                <w:color w:val="333333"/>
                <w:kern w:val="0"/>
                <w:sz w:val="24"/>
                <w:szCs w:val="24"/>
              </w:rPr>
            </w:pPr>
            <w:r>
              <w:rPr>
                <w:rFonts w:ascii="仿宋" w:hAnsi="仿宋" w:eastAsia="仿宋" w:cs="宋体"/>
                <w:color w:val="333333"/>
                <w:kern w:val="0"/>
                <w:sz w:val="24"/>
                <w:szCs w:val="24"/>
              </w:rPr>
              <w:t>绿色金融</w:t>
            </w:r>
            <w:r>
              <w:rPr>
                <w:rFonts w:hint="eastAsia" w:ascii="仿宋" w:hAnsi="仿宋" w:eastAsia="仿宋" w:cs="宋体"/>
                <w:color w:val="333333"/>
                <w:kern w:val="0"/>
                <w:sz w:val="24"/>
                <w:szCs w:val="24"/>
              </w:rPr>
              <w:t>，</w:t>
            </w:r>
            <w:r>
              <w:rPr>
                <w:rFonts w:ascii="仿宋" w:hAnsi="仿宋" w:eastAsia="仿宋" w:cs="宋体"/>
                <w:color w:val="333333"/>
                <w:kern w:val="0"/>
                <w:sz w:val="24"/>
                <w:szCs w:val="24"/>
              </w:rPr>
              <w:t>公司金融</w:t>
            </w:r>
            <w:r>
              <w:rPr>
                <w:rFonts w:hint="eastAsia" w:ascii="仿宋" w:hAnsi="仿宋" w:eastAsia="仿宋" w:cs="宋体"/>
                <w:color w:val="333333"/>
                <w:kern w:val="0"/>
                <w:sz w:val="24"/>
                <w:szCs w:val="24"/>
              </w:rPr>
              <w:t>，</w:t>
            </w:r>
            <w:r>
              <w:rPr>
                <w:rFonts w:ascii="仿宋" w:hAnsi="仿宋" w:eastAsia="仿宋" w:cs="宋体"/>
                <w:color w:val="333333"/>
                <w:kern w:val="0"/>
                <w:sz w:val="24"/>
                <w:szCs w:val="24"/>
              </w:rPr>
              <w:t>金融科技</w:t>
            </w:r>
          </w:p>
        </w:tc>
        <w:tc>
          <w:tcPr>
            <w:tcW w:w="1068" w:type="dxa"/>
            <w:shd w:val="clear" w:color="auto" w:fill="FFFFFF"/>
            <w:tcMar>
              <w:top w:w="0" w:type="dxa"/>
              <w:left w:w="108" w:type="dxa"/>
              <w:bottom w:w="0" w:type="dxa"/>
              <w:right w:w="108" w:type="dxa"/>
            </w:tcMar>
            <w:vAlign w:val="center"/>
          </w:tcPr>
          <w:p>
            <w:pPr>
              <w:widowControl/>
              <w:wordWrap w:val="0"/>
              <w:spacing w:line="360" w:lineRule="atLeast"/>
              <w:jc w:val="center"/>
              <w:rPr>
                <w:rFonts w:ascii="仿宋" w:hAnsi="仿宋" w:eastAsia="仿宋" w:cs="宋体"/>
                <w:color w:val="333333"/>
                <w:kern w:val="0"/>
                <w:sz w:val="24"/>
                <w:szCs w:val="24"/>
              </w:rPr>
            </w:pPr>
            <w:r>
              <w:rPr>
                <w:rFonts w:ascii="仿宋" w:hAnsi="仿宋" w:eastAsia="仿宋" w:cs="宋体"/>
                <w:color w:val="333333"/>
                <w:kern w:val="0"/>
                <w:sz w:val="24"/>
                <w:szCs w:val="24"/>
              </w:rPr>
              <w:t>约</w:t>
            </w:r>
            <w:r>
              <w:rPr>
                <w:rFonts w:hint="eastAsia" w:ascii="仿宋" w:hAnsi="仿宋" w:eastAsia="仿宋" w:cs="宋体"/>
                <w:color w:val="333333"/>
                <w:kern w:val="0"/>
                <w:sz w:val="24"/>
                <w:szCs w:val="24"/>
                <w:lang w:eastAsia="zh-CN"/>
              </w:rPr>
              <w:t>7</w:t>
            </w:r>
            <w:r>
              <w:rPr>
                <w:rFonts w:hint="eastAsia" w:ascii="仿宋" w:hAnsi="仿宋" w:eastAsia="仿宋" w:cs="宋体"/>
                <w:color w:val="333333"/>
                <w:kern w:val="0"/>
                <w:sz w:val="24"/>
                <w:szCs w:val="24"/>
              </w:rPr>
              <w:t>个</w:t>
            </w:r>
          </w:p>
        </w:tc>
        <w:tc>
          <w:tcPr>
            <w:tcW w:w="1518" w:type="dxa"/>
            <w:shd w:val="clear" w:color="auto" w:fill="FFFFFF"/>
            <w:tcMar>
              <w:top w:w="0" w:type="dxa"/>
              <w:left w:w="108" w:type="dxa"/>
              <w:bottom w:w="0" w:type="dxa"/>
              <w:right w:w="108" w:type="dxa"/>
            </w:tcMar>
            <w:vAlign w:val="center"/>
          </w:tcPr>
          <w:p>
            <w:pPr>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48</w:t>
            </w:r>
          </w:p>
        </w:tc>
        <w:tc>
          <w:tcPr>
            <w:tcW w:w="1358" w:type="dxa"/>
            <w:shd w:val="clear" w:color="auto" w:fill="FFFFFF"/>
            <w:tcMar>
              <w:top w:w="0" w:type="dxa"/>
              <w:left w:w="108" w:type="dxa"/>
              <w:bottom w:w="0" w:type="dxa"/>
              <w:right w:w="108" w:type="dxa"/>
            </w:tcMar>
            <w:vAlign w:val="center"/>
          </w:tcPr>
          <w:p>
            <w:pPr>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72</w:t>
            </w:r>
          </w:p>
        </w:tc>
        <w:tc>
          <w:tcPr>
            <w:tcW w:w="919" w:type="dxa"/>
            <w:shd w:val="clear" w:color="auto" w:fill="FFFFFF"/>
            <w:tcMar>
              <w:top w:w="0" w:type="dxa"/>
              <w:left w:w="108" w:type="dxa"/>
              <w:bottom w:w="0" w:type="dxa"/>
              <w:right w:w="108" w:type="dxa"/>
            </w:tcMar>
            <w:vAlign w:val="center"/>
          </w:tcPr>
          <w:p>
            <w:pPr>
              <w:widowControl/>
              <w:wordWrap w:val="0"/>
              <w:spacing w:line="360" w:lineRule="atLeast"/>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346</w:t>
            </w:r>
          </w:p>
        </w:tc>
      </w:tr>
    </w:tbl>
    <w:p>
      <w:pPr>
        <w:widowControl/>
        <w:shd w:val="clear" w:color="auto" w:fill="FFFFFF"/>
        <w:spacing w:line="360" w:lineRule="atLeast"/>
        <w:rPr>
          <w:rFonts w:hint="eastAsia" w:ascii="仿宋" w:hAnsi="仿宋" w:eastAsia="仿宋" w:cs="宋体"/>
          <w:color w:val="000000"/>
          <w:kern w:val="0"/>
          <w:sz w:val="28"/>
          <w:szCs w:val="28"/>
          <w:shd w:val="clear" w:color="auto" w:fill="FFFFFF"/>
        </w:rPr>
      </w:pPr>
      <w:r>
        <w:rPr>
          <w:rFonts w:hint="eastAsia" w:ascii="仿宋" w:hAnsi="仿宋" w:eastAsia="仿宋" w:cs="宋体"/>
          <w:color w:val="000000"/>
          <w:kern w:val="0"/>
          <w:sz w:val="28"/>
          <w:szCs w:val="28"/>
          <w:shd w:val="clear" w:color="auto" w:fill="FFFFFF"/>
        </w:rPr>
        <w:t>最终录取人数将根据生源情况和复试情况等进行适当调整。</w:t>
      </w:r>
    </w:p>
    <w:p>
      <w:pPr>
        <w:widowControl/>
        <w:shd w:val="clear" w:color="auto" w:fill="FFFFFF"/>
        <w:spacing w:line="360" w:lineRule="atLeast"/>
        <w:rPr>
          <w:rFonts w:ascii="仿宋" w:hAnsi="仿宋" w:eastAsia="仿宋" w:cs="宋体"/>
          <w:color w:val="333333"/>
          <w:kern w:val="0"/>
          <w:sz w:val="32"/>
          <w:szCs w:val="32"/>
        </w:rPr>
      </w:pPr>
      <w:r>
        <w:rPr>
          <w:rFonts w:hint="eastAsia" w:ascii="仿宋" w:hAnsi="仿宋" w:eastAsia="仿宋" w:cs="宋体"/>
          <w:b/>
          <w:bCs/>
          <w:color w:val="000000"/>
          <w:kern w:val="0"/>
          <w:sz w:val="32"/>
          <w:szCs w:val="32"/>
        </w:rPr>
        <w:t>二、调剂的条件和要求</w:t>
      </w:r>
    </w:p>
    <w:p>
      <w:pPr>
        <w:widowControl/>
        <w:shd w:val="clear" w:color="auto" w:fill="FFFFFF"/>
        <w:spacing w:line="360" w:lineRule="atLeast"/>
        <w:rPr>
          <w:rFonts w:ascii="仿宋" w:hAnsi="仿宋" w:eastAsia="仿宋" w:cs="宋体"/>
          <w:color w:val="000000"/>
          <w:kern w:val="0"/>
          <w:sz w:val="28"/>
          <w:szCs w:val="28"/>
          <w:shd w:val="clear" w:color="auto" w:fill="FFFFFF"/>
        </w:rPr>
      </w:pPr>
      <w:r>
        <w:rPr>
          <w:rFonts w:hint="eastAsia" w:ascii="仿宋" w:hAnsi="仿宋" w:eastAsia="仿宋" w:cs="宋体"/>
          <w:color w:val="000000"/>
          <w:kern w:val="0"/>
          <w:sz w:val="28"/>
          <w:szCs w:val="28"/>
          <w:shd w:val="clear" w:color="auto" w:fill="FFFFFF"/>
        </w:rPr>
        <w:t>1.符合国家2023年A类地区研究生复试基本要求和国家调剂政策；</w:t>
      </w:r>
    </w:p>
    <w:p>
      <w:pPr>
        <w:widowControl/>
        <w:shd w:val="clear" w:color="auto" w:fill="FFFFFF"/>
        <w:spacing w:line="360" w:lineRule="atLeast"/>
        <w:rPr>
          <w:rFonts w:ascii="仿宋" w:hAnsi="仿宋" w:eastAsia="仿宋" w:cs="宋体"/>
          <w:color w:val="333333"/>
          <w:kern w:val="0"/>
          <w:sz w:val="28"/>
          <w:szCs w:val="28"/>
        </w:rPr>
      </w:pPr>
      <w:r>
        <w:rPr>
          <w:rFonts w:hint="eastAsia" w:ascii="仿宋" w:hAnsi="仿宋" w:eastAsia="仿宋" w:cs="宋体"/>
          <w:color w:val="000000"/>
          <w:kern w:val="0"/>
          <w:sz w:val="28"/>
          <w:szCs w:val="28"/>
          <w:shd w:val="clear" w:color="auto" w:fill="FFFFFF"/>
        </w:rPr>
        <w:t>2.初试成绩符合我院进入复试的分数要求</w:t>
      </w:r>
      <w:r>
        <w:rPr>
          <w:rFonts w:hint="eastAsia" w:ascii="仿宋" w:hAnsi="仿宋" w:eastAsia="仿宋" w:cs="宋体"/>
          <w:color w:val="333333"/>
          <w:kern w:val="0"/>
          <w:sz w:val="28"/>
          <w:szCs w:val="28"/>
        </w:rPr>
        <w:t>；</w:t>
      </w:r>
    </w:p>
    <w:p>
      <w:pPr>
        <w:widowControl/>
        <w:shd w:val="clear" w:color="auto" w:fill="FFFFFF"/>
        <w:spacing w:line="360" w:lineRule="atLeast"/>
        <w:rPr>
          <w:rFonts w:ascii="仿宋" w:hAnsi="仿宋" w:eastAsia="仿宋" w:cs="宋体"/>
          <w:color w:val="333333"/>
          <w:kern w:val="0"/>
          <w:sz w:val="28"/>
          <w:szCs w:val="28"/>
        </w:rPr>
      </w:pPr>
      <w:r>
        <w:rPr>
          <w:rFonts w:hint="eastAsia" w:ascii="仿宋" w:hAnsi="仿宋" w:eastAsia="仿宋" w:cs="宋体"/>
          <w:color w:val="000000"/>
          <w:kern w:val="0"/>
          <w:sz w:val="28"/>
          <w:szCs w:val="28"/>
          <w:shd w:val="clear" w:color="auto" w:fill="FFFFFF"/>
        </w:rPr>
        <w:t>3.调入专业与第一志愿报考专业相同或相近，且在同一学科门类范围内</w:t>
      </w:r>
      <w:r>
        <w:rPr>
          <w:rFonts w:hint="eastAsia" w:ascii="仿宋" w:hAnsi="仿宋" w:eastAsia="仿宋" w:cs="宋体"/>
          <w:color w:val="333333"/>
          <w:kern w:val="0"/>
          <w:sz w:val="28"/>
          <w:szCs w:val="28"/>
        </w:rPr>
        <w:t>；</w:t>
      </w:r>
    </w:p>
    <w:p>
      <w:pPr>
        <w:widowControl/>
        <w:shd w:val="clear" w:color="auto" w:fill="FFFFFF"/>
        <w:spacing w:line="360" w:lineRule="atLeast"/>
        <w:rPr>
          <w:rFonts w:ascii="仿宋" w:hAnsi="仿宋" w:eastAsia="仿宋" w:cs="宋体"/>
          <w:color w:val="000000"/>
          <w:kern w:val="0"/>
          <w:sz w:val="28"/>
          <w:szCs w:val="28"/>
          <w:shd w:val="clear" w:color="auto" w:fill="FFFFFF"/>
        </w:rPr>
      </w:pPr>
      <w:r>
        <w:rPr>
          <w:rFonts w:hint="eastAsia" w:ascii="仿宋" w:hAnsi="仿宋" w:eastAsia="仿宋" w:cs="宋体"/>
          <w:color w:val="000000"/>
          <w:kern w:val="0"/>
          <w:sz w:val="28"/>
          <w:szCs w:val="28"/>
          <w:shd w:val="clear" w:color="auto" w:fill="FFFFFF"/>
        </w:rPr>
        <w:t>4.初试科目与调入专业初试科目相同或相近，其中初试全国统一命题科目应与调入专业全国统一命题科目相同（考生初试统考科目涵盖调入专业所有统考科目的，视为相同）。</w:t>
      </w:r>
    </w:p>
    <w:p>
      <w:pPr>
        <w:widowControl/>
        <w:shd w:val="clear" w:color="auto" w:fill="FFFFFF"/>
        <w:spacing w:line="360" w:lineRule="atLeast"/>
        <w:rPr>
          <w:rFonts w:ascii="仿宋" w:hAnsi="仿宋" w:eastAsia="仿宋" w:cs="宋体"/>
          <w:color w:val="333333"/>
          <w:kern w:val="0"/>
          <w:sz w:val="32"/>
          <w:szCs w:val="32"/>
        </w:rPr>
      </w:pPr>
      <w:r>
        <w:rPr>
          <w:rFonts w:hint="eastAsia" w:ascii="仿宋" w:hAnsi="仿宋" w:eastAsia="仿宋" w:cs="宋体"/>
          <w:b/>
          <w:bCs/>
          <w:color w:val="000000"/>
          <w:kern w:val="0"/>
          <w:sz w:val="32"/>
          <w:szCs w:val="32"/>
        </w:rPr>
        <w:t>三、调剂申请程序</w:t>
      </w:r>
    </w:p>
    <w:p>
      <w:pPr>
        <w:widowControl/>
        <w:shd w:val="clear" w:color="auto" w:fill="FFFFFF"/>
        <w:spacing w:line="360" w:lineRule="atLeast"/>
        <w:rPr>
          <w:rFonts w:ascii="仿宋" w:hAnsi="仿宋" w:eastAsia="仿宋" w:cs="宋体"/>
          <w:b/>
          <w:bCs/>
          <w:color w:val="333333"/>
          <w:kern w:val="0"/>
          <w:sz w:val="28"/>
          <w:szCs w:val="28"/>
        </w:rPr>
      </w:pPr>
      <w:r>
        <w:rPr>
          <w:rFonts w:hint="eastAsia" w:ascii="仿宋" w:hAnsi="仿宋" w:eastAsia="仿宋" w:cs="宋体"/>
          <w:b/>
          <w:bCs/>
          <w:color w:val="333333"/>
          <w:kern w:val="0"/>
          <w:sz w:val="28"/>
          <w:szCs w:val="28"/>
        </w:rPr>
        <w:t>1.报名方式</w:t>
      </w:r>
    </w:p>
    <w:p>
      <w:pPr>
        <w:widowControl/>
        <w:shd w:val="clear" w:color="auto" w:fill="FFFFFF"/>
        <w:spacing w:line="360" w:lineRule="atLeast"/>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rPr>
        <w:t>调剂报名必须通过“全国硕士研究生招生调剂服务系统”（网址http://yz.chsi.com.cn/yztj/）进行。</w:t>
      </w:r>
    </w:p>
    <w:p>
      <w:pPr>
        <w:widowControl/>
        <w:shd w:val="clear" w:color="auto" w:fill="FFFFFF"/>
        <w:spacing w:line="360" w:lineRule="atLeast"/>
        <w:rPr>
          <w:rFonts w:ascii="仿宋" w:hAnsi="仿宋" w:eastAsia="仿宋" w:cs="宋体"/>
          <w:b/>
          <w:bCs/>
          <w:color w:val="333333"/>
          <w:kern w:val="0"/>
          <w:sz w:val="28"/>
          <w:szCs w:val="28"/>
        </w:rPr>
      </w:pPr>
      <w:r>
        <w:rPr>
          <w:rFonts w:hint="eastAsia" w:ascii="仿宋" w:hAnsi="仿宋" w:eastAsia="仿宋" w:cs="宋体"/>
          <w:b/>
          <w:bCs/>
          <w:color w:val="333333"/>
          <w:kern w:val="0"/>
          <w:sz w:val="28"/>
          <w:szCs w:val="28"/>
        </w:rPr>
        <w:t>2.报名时间</w:t>
      </w:r>
    </w:p>
    <w:p>
      <w:pPr>
        <w:widowControl/>
        <w:shd w:val="clear" w:color="auto" w:fill="FFFFFF"/>
        <w:spacing w:line="360" w:lineRule="atLeast"/>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rPr>
        <w:t>正式调剂开始时间为：4月1</w:t>
      </w:r>
      <w:r>
        <w:rPr>
          <w:rFonts w:hint="eastAsia" w:ascii="仿宋" w:hAnsi="仿宋" w:eastAsia="仿宋" w:cs="宋体"/>
          <w:color w:val="333333"/>
          <w:kern w:val="0"/>
          <w:sz w:val="28"/>
          <w:szCs w:val="28"/>
          <w:lang w:eastAsia="zh-CN"/>
        </w:rPr>
        <w:t>6</w:t>
      </w:r>
      <w:r>
        <w:rPr>
          <w:rFonts w:hint="eastAsia" w:ascii="仿宋" w:hAnsi="仿宋" w:eastAsia="仿宋" w:cs="宋体"/>
          <w:color w:val="333333"/>
          <w:kern w:val="0"/>
          <w:sz w:val="28"/>
          <w:szCs w:val="28"/>
        </w:rPr>
        <w:t>日12：00。</w:t>
      </w:r>
    </w:p>
    <w:p>
      <w:pPr>
        <w:widowControl/>
        <w:shd w:val="clear" w:color="auto" w:fill="FFFFFF"/>
        <w:spacing w:line="360" w:lineRule="atLeast"/>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rPr>
        <w:t>（系统开放时间不低于12个小时）</w:t>
      </w:r>
    </w:p>
    <w:p>
      <w:pPr>
        <w:widowControl/>
        <w:shd w:val="clear" w:color="auto" w:fill="FFFFFF"/>
        <w:spacing w:line="360" w:lineRule="atLeast"/>
        <w:rPr>
          <w:rFonts w:ascii="仿宋" w:hAnsi="仿宋" w:eastAsia="仿宋" w:cs="宋体"/>
          <w:b/>
          <w:bCs/>
          <w:color w:val="000000"/>
          <w:kern w:val="0"/>
          <w:sz w:val="32"/>
          <w:szCs w:val="32"/>
        </w:rPr>
      </w:pPr>
      <w:r>
        <w:rPr>
          <w:rFonts w:hint="eastAsia" w:ascii="仿宋" w:hAnsi="仿宋" w:eastAsia="仿宋" w:cs="宋体"/>
          <w:b/>
          <w:bCs/>
          <w:color w:val="000000"/>
          <w:kern w:val="0"/>
          <w:sz w:val="32"/>
          <w:szCs w:val="32"/>
        </w:rPr>
        <w:t>四、复试</w:t>
      </w:r>
    </w:p>
    <w:p>
      <w:pPr>
        <w:widowControl/>
        <w:shd w:val="clear" w:color="auto" w:fill="FFFFFF"/>
        <w:spacing w:line="360" w:lineRule="atLeast"/>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rPr>
        <w:t>符合我院调剂要求的考生请在规定时间内登录研招网调剂系统填报调剂志愿，经学院初审确定名单后，将通过调剂系统向考生发送复试通知，考生在系统中确认同意复试后按要求参加我院复试方可。复试名单在学院网上公示。</w:t>
      </w:r>
    </w:p>
    <w:p>
      <w:pPr>
        <w:widowControl/>
        <w:shd w:val="clear" w:color="auto" w:fill="FFFFFF"/>
        <w:spacing w:line="360" w:lineRule="atLeast"/>
        <w:rPr>
          <w:rFonts w:ascii="仿宋" w:hAnsi="仿宋" w:eastAsia="仿宋" w:cs="宋体"/>
          <w:color w:val="333333"/>
          <w:kern w:val="0"/>
          <w:sz w:val="32"/>
          <w:szCs w:val="32"/>
        </w:rPr>
      </w:pPr>
      <w:r>
        <w:rPr>
          <w:rFonts w:hint="eastAsia" w:ascii="仿宋" w:hAnsi="仿宋" w:eastAsia="仿宋" w:cs="宋体"/>
          <w:b/>
          <w:bCs/>
          <w:color w:val="000000"/>
          <w:kern w:val="0"/>
          <w:sz w:val="32"/>
          <w:szCs w:val="32"/>
        </w:rPr>
        <w:t>1、复试时间：</w:t>
      </w:r>
      <w:r>
        <w:rPr>
          <w:rFonts w:ascii="仿宋" w:hAnsi="仿宋" w:eastAsia="仿宋" w:cs="宋体"/>
          <w:color w:val="333333"/>
          <w:kern w:val="0"/>
          <w:sz w:val="32"/>
          <w:szCs w:val="32"/>
        </w:rPr>
        <w:t xml:space="preserve"> </w:t>
      </w:r>
    </w:p>
    <w:p>
      <w:pPr>
        <w:pStyle w:val="14"/>
        <w:spacing w:line="570" w:lineRule="exact"/>
        <w:ind w:firstLine="0" w:firstLineChars="0"/>
        <w:rPr>
          <w:b/>
          <w:color w:val="000000"/>
          <w:szCs w:val="28"/>
        </w:rPr>
      </w:pPr>
      <w:r>
        <w:rPr>
          <w:rFonts w:hint="eastAsia"/>
          <w:b/>
          <w:color w:val="000000"/>
          <w:szCs w:val="28"/>
        </w:rPr>
        <w:t>（1）专业</w:t>
      </w:r>
      <w:r>
        <w:rPr>
          <w:b/>
          <w:color w:val="000000"/>
          <w:szCs w:val="28"/>
        </w:rPr>
        <w:t>学位类硕士研究生复试报到时间及方式</w:t>
      </w:r>
    </w:p>
    <w:tbl>
      <w:tblPr>
        <w:tblStyle w:val="7"/>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3656"/>
        <w:gridCol w:w="113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2" w:type="dxa"/>
          </w:tcPr>
          <w:p>
            <w:pPr>
              <w:rPr>
                <w:rFonts w:ascii="宋体" w:hAnsi="宋体" w:cs="宋体"/>
                <w:kern w:val="0"/>
                <w:szCs w:val="21"/>
              </w:rPr>
            </w:pPr>
            <w:r>
              <w:rPr>
                <w:rFonts w:ascii="宋体" w:hAnsi="宋体" w:cs="宋体"/>
                <w:kern w:val="0"/>
                <w:szCs w:val="21"/>
              </w:rPr>
              <w:t>专业</w:t>
            </w:r>
          </w:p>
        </w:tc>
        <w:tc>
          <w:tcPr>
            <w:tcW w:w="3656" w:type="dxa"/>
          </w:tcPr>
          <w:p>
            <w:pPr>
              <w:rPr>
                <w:rFonts w:ascii="宋体" w:hAnsi="宋体" w:cs="宋体"/>
                <w:kern w:val="0"/>
                <w:szCs w:val="21"/>
              </w:rPr>
            </w:pPr>
            <w:r>
              <w:rPr>
                <w:rFonts w:ascii="宋体" w:hAnsi="宋体" w:cs="宋体"/>
                <w:kern w:val="0"/>
                <w:szCs w:val="21"/>
              </w:rPr>
              <w:t>报到时间</w:t>
            </w:r>
          </w:p>
        </w:tc>
        <w:tc>
          <w:tcPr>
            <w:tcW w:w="1134" w:type="dxa"/>
          </w:tcPr>
          <w:p>
            <w:pPr>
              <w:rPr>
                <w:rFonts w:ascii="宋体" w:hAnsi="宋体" w:cs="宋体"/>
                <w:kern w:val="0"/>
                <w:szCs w:val="21"/>
              </w:rPr>
            </w:pPr>
            <w:r>
              <w:rPr>
                <w:rFonts w:ascii="宋体" w:hAnsi="宋体" w:cs="宋体"/>
                <w:kern w:val="0"/>
                <w:szCs w:val="21"/>
              </w:rPr>
              <w:t>报到方式</w:t>
            </w:r>
          </w:p>
        </w:tc>
        <w:tc>
          <w:tcPr>
            <w:tcW w:w="2268" w:type="dxa"/>
          </w:tcPr>
          <w:p>
            <w:pPr>
              <w:rPr>
                <w:rFonts w:ascii="宋体" w:hAnsi="宋体" w:cs="宋体"/>
                <w:kern w:val="0"/>
                <w:szCs w:val="21"/>
              </w:rPr>
            </w:pPr>
            <w:r>
              <w:rPr>
                <w:rFonts w:ascii="宋体" w:hAnsi="宋体" w:cs="宋体"/>
                <w:kern w:val="0"/>
                <w:szCs w:val="21"/>
              </w:rPr>
              <w:t>复试秘书及钉钉号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pPr>
              <w:rPr>
                <w:rFonts w:ascii="宋体" w:hAnsi="宋体" w:cs="宋体"/>
                <w:kern w:val="0"/>
                <w:szCs w:val="21"/>
              </w:rPr>
            </w:pPr>
            <w:r>
              <w:rPr>
                <w:rFonts w:ascii="宋体" w:hAnsi="宋体" w:cs="宋体"/>
                <w:kern w:val="0"/>
                <w:szCs w:val="21"/>
              </w:rPr>
              <w:t>金融硕士</w:t>
            </w:r>
            <w:r>
              <w:rPr>
                <w:rFonts w:hint="eastAsia" w:ascii="宋体" w:hAnsi="宋体" w:cs="宋体"/>
                <w:kern w:val="0"/>
                <w:szCs w:val="21"/>
              </w:rPr>
              <w:t>（MF）</w:t>
            </w:r>
          </w:p>
        </w:tc>
        <w:tc>
          <w:tcPr>
            <w:tcW w:w="3656" w:type="dxa"/>
            <w:vAlign w:val="center"/>
          </w:tcPr>
          <w:p>
            <w:pPr>
              <w:rPr>
                <w:rFonts w:ascii="宋体" w:hAnsi="宋体" w:cs="宋体"/>
                <w:kern w:val="0"/>
                <w:szCs w:val="21"/>
              </w:rPr>
            </w:pPr>
            <w:r>
              <w:rPr>
                <w:rFonts w:hint="eastAsia" w:ascii="宋体" w:hAnsi="宋体" w:cs="宋体"/>
                <w:kern w:val="0"/>
                <w:szCs w:val="21"/>
              </w:rPr>
              <w:t>2023年4月1</w:t>
            </w:r>
            <w:r>
              <w:rPr>
                <w:rFonts w:hint="eastAsia" w:ascii="宋体" w:hAnsi="宋体" w:cs="宋体"/>
                <w:kern w:val="0"/>
                <w:szCs w:val="21"/>
                <w:lang w:eastAsia="zh-CN"/>
              </w:rPr>
              <w:t>7</w:t>
            </w:r>
            <w:r>
              <w:rPr>
                <w:rFonts w:hint="eastAsia" w:ascii="宋体" w:hAnsi="宋体" w:cs="宋体"/>
                <w:kern w:val="0"/>
                <w:szCs w:val="21"/>
              </w:rPr>
              <w:t>日8:30：00-15：00</w:t>
            </w:r>
          </w:p>
        </w:tc>
        <w:tc>
          <w:tcPr>
            <w:tcW w:w="1134" w:type="dxa"/>
            <w:vAlign w:val="center"/>
          </w:tcPr>
          <w:p>
            <w:pPr>
              <w:rPr>
                <w:rFonts w:ascii="宋体" w:hAnsi="宋体" w:cs="宋体"/>
                <w:kern w:val="0"/>
                <w:szCs w:val="21"/>
              </w:rPr>
            </w:pPr>
            <w:r>
              <w:rPr>
                <w:rFonts w:ascii="宋体" w:hAnsi="宋体" w:cs="宋体"/>
                <w:kern w:val="0"/>
                <w:szCs w:val="21"/>
              </w:rPr>
              <w:t>钉钉系统</w:t>
            </w:r>
          </w:p>
        </w:tc>
        <w:tc>
          <w:tcPr>
            <w:tcW w:w="2268" w:type="dxa"/>
            <w:vAlign w:val="center"/>
          </w:tcPr>
          <w:p>
            <w:pPr>
              <w:rPr>
                <w:rFonts w:ascii="宋体" w:hAnsi="宋体" w:cs="宋体"/>
                <w:kern w:val="0"/>
                <w:szCs w:val="21"/>
              </w:rPr>
            </w:pPr>
            <w:r>
              <w:rPr>
                <w:rFonts w:hint="eastAsia" w:ascii="宋体" w:hAnsi="宋体" w:cs="宋体"/>
                <w:kern w:val="0"/>
                <w:szCs w:val="21"/>
              </w:rPr>
              <w:t>何老师</w:t>
            </w:r>
            <w:r>
              <w:rPr>
                <w:rFonts w:ascii="宋体" w:hAnsi="宋体" w:cs="宋体"/>
                <w:kern w:val="0"/>
                <w:szCs w:val="21"/>
              </w:rPr>
              <w:t>18813191315</w:t>
            </w:r>
          </w:p>
        </w:tc>
      </w:tr>
    </w:tbl>
    <w:p>
      <w:pPr>
        <w:spacing w:line="360" w:lineRule="auto"/>
        <w:rPr>
          <w:b/>
          <w:bCs/>
        </w:rPr>
      </w:pPr>
      <w:bookmarkStart w:id="0" w:name="_Hlk40109570"/>
      <w:r>
        <w:rPr>
          <w:rFonts w:hint="eastAsia"/>
          <w:b/>
          <w:bCs/>
        </w:rPr>
        <w:t>（2）</w:t>
      </w:r>
      <w:r>
        <w:rPr>
          <w:b/>
          <w:bCs/>
        </w:rPr>
        <w:t>综合素质面试和外语测试</w:t>
      </w:r>
    </w:p>
    <w:tbl>
      <w:tblPr>
        <w:tblStyle w:val="6"/>
        <w:tblW w:w="9185" w:type="dxa"/>
        <w:tblInd w:w="-5" w:type="dxa"/>
        <w:tblLayout w:type="fixed"/>
        <w:tblCellMar>
          <w:top w:w="0" w:type="dxa"/>
          <w:left w:w="108" w:type="dxa"/>
          <w:bottom w:w="0" w:type="dxa"/>
          <w:right w:w="108" w:type="dxa"/>
        </w:tblCellMar>
      </w:tblPr>
      <w:tblGrid>
        <w:gridCol w:w="2098"/>
        <w:gridCol w:w="3685"/>
        <w:gridCol w:w="1163"/>
        <w:gridCol w:w="2239"/>
      </w:tblGrid>
      <w:tr>
        <w:tblPrEx>
          <w:tblCellMar>
            <w:top w:w="0" w:type="dxa"/>
            <w:left w:w="108" w:type="dxa"/>
            <w:bottom w:w="0" w:type="dxa"/>
            <w:right w:w="108" w:type="dxa"/>
          </w:tblCellMar>
        </w:tblPrEx>
        <w:trPr>
          <w:trHeight w:val="510" w:hRule="atLeast"/>
        </w:trPr>
        <w:tc>
          <w:tcPr>
            <w:tcW w:w="20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2"/>
              </w:rPr>
            </w:pPr>
            <w:r>
              <w:rPr>
                <w:rFonts w:hAnsi="宋体"/>
                <w:color w:val="000000"/>
                <w:sz w:val="22"/>
              </w:rPr>
              <w:t>专业</w:t>
            </w:r>
          </w:p>
        </w:tc>
        <w:tc>
          <w:tcPr>
            <w:tcW w:w="7087" w:type="dxa"/>
            <w:gridSpan w:val="3"/>
            <w:tcBorders>
              <w:top w:val="single" w:color="auto" w:sz="4" w:space="0"/>
              <w:left w:val="nil"/>
              <w:bottom w:val="single" w:color="auto" w:sz="4" w:space="0"/>
              <w:right w:val="single" w:color="auto" w:sz="4" w:space="0"/>
            </w:tcBorders>
            <w:shd w:val="clear" w:color="auto" w:fill="auto"/>
            <w:vAlign w:val="center"/>
          </w:tcPr>
          <w:p>
            <w:pPr>
              <w:jc w:val="center"/>
              <w:rPr>
                <w:color w:val="000000"/>
                <w:sz w:val="22"/>
              </w:rPr>
            </w:pPr>
            <w:r>
              <w:rPr>
                <w:rFonts w:hint="eastAsia" w:hAnsi="宋体"/>
                <w:color w:val="000000"/>
                <w:sz w:val="22"/>
              </w:rPr>
              <w:t>综合</w:t>
            </w:r>
            <w:r>
              <w:rPr>
                <w:rFonts w:hAnsi="宋体"/>
                <w:color w:val="000000"/>
                <w:sz w:val="22"/>
              </w:rPr>
              <w:t>复试（包括英语测试）</w:t>
            </w:r>
          </w:p>
        </w:tc>
      </w:tr>
      <w:tr>
        <w:tblPrEx>
          <w:tblCellMar>
            <w:top w:w="0" w:type="dxa"/>
            <w:left w:w="108" w:type="dxa"/>
            <w:bottom w:w="0" w:type="dxa"/>
            <w:right w:w="108" w:type="dxa"/>
          </w:tblCellMar>
        </w:tblPrEx>
        <w:trPr>
          <w:trHeight w:val="510" w:hRule="atLeast"/>
        </w:trPr>
        <w:tc>
          <w:tcPr>
            <w:tcW w:w="2098" w:type="dxa"/>
            <w:vMerge w:val="continue"/>
            <w:tcBorders>
              <w:top w:val="single" w:color="auto" w:sz="4" w:space="0"/>
              <w:left w:val="single" w:color="auto" w:sz="4" w:space="0"/>
              <w:bottom w:val="single" w:color="auto" w:sz="4" w:space="0"/>
              <w:right w:val="single" w:color="auto" w:sz="4" w:space="0"/>
            </w:tcBorders>
            <w:vAlign w:val="center"/>
          </w:tcPr>
          <w:p>
            <w:pPr>
              <w:rPr>
                <w:color w:val="000000"/>
                <w:sz w:val="22"/>
              </w:rPr>
            </w:pPr>
          </w:p>
        </w:tc>
        <w:tc>
          <w:tcPr>
            <w:tcW w:w="3685" w:type="dxa"/>
            <w:tcBorders>
              <w:top w:val="nil"/>
              <w:left w:val="nil"/>
              <w:bottom w:val="single" w:color="auto" w:sz="4" w:space="0"/>
              <w:right w:val="single" w:color="auto" w:sz="4" w:space="0"/>
            </w:tcBorders>
            <w:shd w:val="clear" w:color="auto" w:fill="auto"/>
            <w:vAlign w:val="center"/>
          </w:tcPr>
          <w:p>
            <w:pPr>
              <w:jc w:val="center"/>
              <w:rPr>
                <w:color w:val="000000"/>
                <w:sz w:val="22"/>
              </w:rPr>
            </w:pPr>
            <w:r>
              <w:rPr>
                <w:rFonts w:hAnsi="宋体"/>
                <w:color w:val="000000"/>
                <w:sz w:val="22"/>
              </w:rPr>
              <w:t>时间</w:t>
            </w:r>
          </w:p>
        </w:tc>
        <w:tc>
          <w:tcPr>
            <w:tcW w:w="1163" w:type="dxa"/>
            <w:tcBorders>
              <w:top w:val="nil"/>
              <w:left w:val="nil"/>
              <w:bottom w:val="single" w:color="auto" w:sz="4" w:space="0"/>
              <w:right w:val="single" w:color="auto" w:sz="4" w:space="0"/>
            </w:tcBorders>
            <w:shd w:val="clear" w:color="auto" w:fill="auto"/>
            <w:vAlign w:val="center"/>
          </w:tcPr>
          <w:p>
            <w:pPr>
              <w:jc w:val="center"/>
              <w:rPr>
                <w:color w:val="000000"/>
                <w:sz w:val="22"/>
              </w:rPr>
            </w:pPr>
            <w:r>
              <w:rPr>
                <w:rFonts w:hAnsi="宋体"/>
                <w:color w:val="000000"/>
                <w:sz w:val="22"/>
              </w:rPr>
              <w:t>方式</w:t>
            </w:r>
          </w:p>
        </w:tc>
        <w:tc>
          <w:tcPr>
            <w:tcW w:w="2239" w:type="dxa"/>
            <w:tcBorders>
              <w:top w:val="nil"/>
              <w:left w:val="nil"/>
              <w:bottom w:val="single" w:color="auto" w:sz="4" w:space="0"/>
              <w:right w:val="single" w:color="auto" w:sz="4" w:space="0"/>
            </w:tcBorders>
            <w:shd w:val="clear" w:color="auto" w:fill="auto"/>
            <w:vAlign w:val="center"/>
          </w:tcPr>
          <w:p>
            <w:pPr>
              <w:jc w:val="center"/>
              <w:rPr>
                <w:color w:val="000000"/>
                <w:sz w:val="22"/>
              </w:rPr>
            </w:pPr>
            <w:r>
              <w:rPr>
                <w:rFonts w:hAnsi="宋体"/>
                <w:color w:val="000000"/>
                <w:sz w:val="22"/>
              </w:rPr>
              <w:t>复试专家集中地点</w:t>
            </w:r>
          </w:p>
        </w:tc>
      </w:tr>
      <w:tr>
        <w:tblPrEx>
          <w:tblCellMar>
            <w:top w:w="0" w:type="dxa"/>
            <w:left w:w="108" w:type="dxa"/>
            <w:bottom w:w="0" w:type="dxa"/>
            <w:right w:w="108" w:type="dxa"/>
          </w:tblCellMar>
        </w:tblPrEx>
        <w:trPr>
          <w:trHeight w:val="510" w:hRule="atLeast"/>
        </w:trPr>
        <w:tc>
          <w:tcPr>
            <w:tcW w:w="20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ascii="宋体" w:hAnsi="宋体" w:cs="宋体"/>
                <w:kern w:val="0"/>
                <w:szCs w:val="21"/>
              </w:rPr>
              <w:t>金融硕士</w:t>
            </w:r>
            <w:r>
              <w:rPr>
                <w:rFonts w:hint="eastAsia" w:ascii="宋体" w:hAnsi="宋体" w:cs="宋体"/>
                <w:kern w:val="0"/>
                <w:szCs w:val="21"/>
              </w:rPr>
              <w:t>（MF）</w:t>
            </w:r>
          </w:p>
        </w:tc>
        <w:tc>
          <w:tcPr>
            <w:tcW w:w="3685"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4月1</w:t>
            </w:r>
            <w:r>
              <w:rPr>
                <w:rFonts w:hint="eastAsia" w:ascii="宋体" w:hAnsi="宋体" w:cs="宋体"/>
                <w:kern w:val="0"/>
                <w:szCs w:val="21"/>
                <w:lang w:eastAsia="zh-CN"/>
              </w:rPr>
              <w:t>8</w:t>
            </w:r>
            <w:r>
              <w:rPr>
                <w:rFonts w:hint="eastAsia" w:ascii="宋体" w:hAnsi="宋体" w:cs="宋体"/>
                <w:kern w:val="0"/>
                <w:szCs w:val="21"/>
              </w:rPr>
              <w:t>日13：0</w:t>
            </w:r>
            <w:r>
              <w:rPr>
                <w:rFonts w:ascii="宋体" w:hAnsi="宋体" w:cs="宋体"/>
                <w:kern w:val="0"/>
                <w:szCs w:val="21"/>
              </w:rPr>
              <w:t>0—</w:t>
            </w:r>
            <w:r>
              <w:rPr>
                <w:rFonts w:hint="eastAsia" w:ascii="宋体" w:hAnsi="宋体" w:cs="宋体"/>
                <w:kern w:val="0"/>
                <w:szCs w:val="21"/>
              </w:rPr>
              <w:t>1</w:t>
            </w:r>
            <w:r>
              <w:rPr>
                <w:rFonts w:hint="eastAsia" w:ascii="宋体" w:hAnsi="宋体" w:cs="宋体"/>
                <w:kern w:val="0"/>
                <w:szCs w:val="21"/>
                <w:lang w:eastAsia="zh-CN"/>
              </w:rPr>
              <w:t>9</w:t>
            </w:r>
            <w:r>
              <w:rPr>
                <w:rFonts w:hint="eastAsia" w:ascii="宋体" w:hAnsi="宋体" w:cs="宋体"/>
                <w:kern w:val="0"/>
                <w:szCs w:val="21"/>
              </w:rPr>
              <w:t>：0</w:t>
            </w:r>
            <w:r>
              <w:rPr>
                <w:rFonts w:ascii="宋体" w:hAnsi="宋体" w:cs="宋体"/>
                <w:kern w:val="0"/>
                <w:szCs w:val="21"/>
              </w:rPr>
              <w:t>0</w:t>
            </w:r>
          </w:p>
        </w:tc>
        <w:tc>
          <w:tcPr>
            <w:tcW w:w="1163"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kern w:val="0"/>
                <w:szCs w:val="21"/>
              </w:rPr>
            </w:pPr>
            <w:r>
              <w:rPr>
                <w:rFonts w:ascii="宋体" w:hAnsi="宋体" w:cs="宋体"/>
                <w:kern w:val="0"/>
                <w:szCs w:val="21"/>
              </w:rPr>
              <w:t>网络远程</w:t>
            </w:r>
          </w:p>
        </w:tc>
        <w:tc>
          <w:tcPr>
            <w:tcW w:w="2239"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待定</w:t>
            </w:r>
          </w:p>
        </w:tc>
      </w:tr>
    </w:tbl>
    <w:p>
      <w:pPr>
        <w:spacing w:line="360" w:lineRule="auto"/>
        <w:rPr>
          <w:b/>
          <w:bCs/>
        </w:rPr>
      </w:pPr>
      <w:r>
        <w:rPr>
          <w:rFonts w:hint="eastAsia"/>
          <w:b/>
          <w:bCs/>
        </w:rPr>
        <w:t>（3）</w:t>
      </w:r>
      <w:bookmarkEnd w:id="0"/>
      <w:r>
        <w:rPr>
          <w:b/>
          <w:bCs/>
        </w:rPr>
        <w:t>专业笔试</w:t>
      </w:r>
      <w:r>
        <w:rPr>
          <w:rFonts w:hint="eastAsia"/>
          <w:b/>
          <w:bCs/>
        </w:rPr>
        <w:t>、同等学力和跨专业考生</w:t>
      </w:r>
      <w:r>
        <w:rPr>
          <w:b/>
          <w:bCs/>
        </w:rPr>
        <w:t>加试</w:t>
      </w:r>
      <w:r>
        <w:rPr>
          <w:rFonts w:hint="eastAsia"/>
          <w:b/>
          <w:bCs/>
        </w:rPr>
        <w:t>时间和方式</w:t>
      </w:r>
    </w:p>
    <w:tbl>
      <w:tblPr>
        <w:tblStyle w:val="6"/>
        <w:tblW w:w="9252" w:type="dxa"/>
        <w:jc w:val="center"/>
        <w:tblLayout w:type="fixed"/>
        <w:tblCellMar>
          <w:top w:w="0" w:type="dxa"/>
          <w:left w:w="108" w:type="dxa"/>
          <w:bottom w:w="0" w:type="dxa"/>
          <w:right w:w="108" w:type="dxa"/>
        </w:tblCellMar>
      </w:tblPr>
      <w:tblGrid>
        <w:gridCol w:w="1824"/>
        <w:gridCol w:w="1794"/>
        <w:gridCol w:w="885"/>
        <w:gridCol w:w="1524"/>
        <w:gridCol w:w="993"/>
        <w:gridCol w:w="993"/>
        <w:gridCol w:w="1239"/>
      </w:tblGrid>
      <w:tr>
        <w:tblPrEx>
          <w:tblCellMar>
            <w:top w:w="0" w:type="dxa"/>
            <w:left w:w="108" w:type="dxa"/>
            <w:bottom w:w="0" w:type="dxa"/>
            <w:right w:w="108" w:type="dxa"/>
          </w:tblCellMar>
        </w:tblPrEx>
        <w:trPr>
          <w:trHeight w:val="510" w:hRule="atLeast"/>
          <w:jc w:val="center"/>
        </w:trPr>
        <w:tc>
          <w:tcPr>
            <w:tcW w:w="182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ascii="宋体" w:hAnsi="宋体" w:cs="宋体"/>
                <w:kern w:val="0"/>
                <w:szCs w:val="21"/>
              </w:rPr>
              <w:t xml:space="preserve">专业       </w:t>
            </w:r>
          </w:p>
        </w:tc>
        <w:tc>
          <w:tcPr>
            <w:tcW w:w="267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ascii="宋体" w:hAnsi="宋体" w:cs="宋体"/>
                <w:kern w:val="0"/>
                <w:szCs w:val="21"/>
              </w:rPr>
              <w:t>专业笔试</w:t>
            </w:r>
          </w:p>
        </w:tc>
        <w:tc>
          <w:tcPr>
            <w:tcW w:w="25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ascii="宋体" w:hAnsi="宋体" w:cs="宋体"/>
                <w:kern w:val="0"/>
                <w:szCs w:val="21"/>
              </w:rPr>
              <w:t>跨专业笔试加试</w:t>
            </w:r>
          </w:p>
        </w:tc>
        <w:tc>
          <w:tcPr>
            <w:tcW w:w="2232" w:type="dxa"/>
            <w:gridSpan w:val="2"/>
            <w:tcBorders>
              <w:top w:val="single" w:color="auto" w:sz="4" w:space="0"/>
              <w:left w:val="nil"/>
              <w:bottom w:val="single" w:color="auto" w:sz="4" w:space="0"/>
              <w:right w:val="single" w:color="auto" w:sz="4" w:space="0"/>
            </w:tcBorders>
          </w:tcPr>
          <w:p>
            <w:pPr>
              <w:widowControl/>
              <w:jc w:val="center"/>
              <w:rPr>
                <w:rFonts w:ascii="宋体" w:hAnsi="宋体" w:cs="宋体"/>
                <w:kern w:val="0"/>
                <w:szCs w:val="21"/>
              </w:rPr>
            </w:pPr>
            <w:r>
              <w:rPr>
                <w:rFonts w:ascii="宋体" w:hAnsi="宋体" w:cs="宋体"/>
                <w:kern w:val="0"/>
                <w:szCs w:val="21"/>
              </w:rPr>
              <w:t>同等学历笔试加试</w:t>
            </w:r>
          </w:p>
        </w:tc>
      </w:tr>
      <w:tr>
        <w:tblPrEx>
          <w:tblCellMar>
            <w:top w:w="0" w:type="dxa"/>
            <w:left w:w="108" w:type="dxa"/>
            <w:bottom w:w="0" w:type="dxa"/>
            <w:right w:w="108" w:type="dxa"/>
          </w:tblCellMar>
        </w:tblPrEx>
        <w:trPr>
          <w:trHeight w:val="510" w:hRule="atLeast"/>
          <w:jc w:val="center"/>
        </w:trPr>
        <w:tc>
          <w:tcPr>
            <w:tcW w:w="182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p>
        </w:tc>
        <w:tc>
          <w:tcPr>
            <w:tcW w:w="17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ascii="宋体" w:hAnsi="宋体" w:cs="宋体"/>
                <w:kern w:val="0"/>
                <w:szCs w:val="21"/>
              </w:rPr>
              <w:t>时间</w:t>
            </w:r>
          </w:p>
        </w:tc>
        <w:tc>
          <w:tcPr>
            <w:tcW w:w="8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ascii="宋体" w:hAnsi="宋体" w:cs="宋体"/>
                <w:kern w:val="0"/>
                <w:szCs w:val="21"/>
              </w:rPr>
              <w:t>方式</w:t>
            </w:r>
          </w:p>
        </w:tc>
        <w:tc>
          <w:tcPr>
            <w:tcW w:w="15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ascii="宋体" w:hAnsi="宋体" w:cs="宋体"/>
                <w:kern w:val="0"/>
                <w:szCs w:val="21"/>
              </w:rPr>
              <w:t>时间</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ascii="宋体" w:hAnsi="宋体" w:cs="宋体"/>
                <w:kern w:val="0"/>
                <w:szCs w:val="21"/>
              </w:rPr>
              <w:t>方式</w:t>
            </w:r>
          </w:p>
        </w:tc>
        <w:tc>
          <w:tcPr>
            <w:tcW w:w="993"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ascii="宋体" w:hAnsi="宋体" w:cs="宋体"/>
                <w:kern w:val="0"/>
                <w:szCs w:val="21"/>
              </w:rPr>
              <w:t>时间</w:t>
            </w:r>
          </w:p>
        </w:tc>
        <w:tc>
          <w:tcPr>
            <w:tcW w:w="1239"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ascii="宋体" w:hAnsi="宋体" w:cs="宋体"/>
                <w:kern w:val="0"/>
                <w:szCs w:val="21"/>
              </w:rPr>
              <w:t>方式</w:t>
            </w:r>
          </w:p>
        </w:tc>
      </w:tr>
      <w:tr>
        <w:tblPrEx>
          <w:tblCellMar>
            <w:top w:w="0" w:type="dxa"/>
            <w:left w:w="108" w:type="dxa"/>
            <w:bottom w:w="0" w:type="dxa"/>
            <w:right w:w="108" w:type="dxa"/>
          </w:tblCellMar>
        </w:tblPrEx>
        <w:trPr>
          <w:trHeight w:val="510" w:hRule="atLeast"/>
          <w:jc w:val="center"/>
        </w:trPr>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金融硕士（MF）</w:t>
            </w:r>
          </w:p>
        </w:tc>
        <w:tc>
          <w:tcPr>
            <w:tcW w:w="17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4月1</w:t>
            </w:r>
            <w:r>
              <w:rPr>
                <w:rFonts w:hint="eastAsia" w:ascii="宋体" w:hAnsi="宋体" w:cs="宋体"/>
                <w:kern w:val="0"/>
                <w:szCs w:val="21"/>
                <w:lang w:eastAsia="zh-CN"/>
              </w:rPr>
              <w:t>8</w:t>
            </w:r>
            <w:r>
              <w:rPr>
                <w:rFonts w:hint="eastAsia" w:ascii="宋体" w:hAnsi="宋体" w:cs="宋体"/>
                <w:kern w:val="0"/>
                <w:szCs w:val="21"/>
              </w:rPr>
              <w:t>日</w:t>
            </w:r>
            <w:r>
              <w:rPr>
                <w:rFonts w:hint="eastAsia" w:ascii="宋体" w:hAnsi="宋体" w:cs="宋体"/>
                <w:kern w:val="0"/>
                <w:szCs w:val="21"/>
                <w:lang w:val="en-US" w:eastAsia="zh-CN"/>
              </w:rPr>
              <w:t>20</w:t>
            </w:r>
            <w:r>
              <w:rPr>
                <w:rFonts w:hint="eastAsia" w:ascii="宋体" w:hAnsi="宋体" w:cs="宋体"/>
                <w:kern w:val="0"/>
                <w:szCs w:val="21"/>
              </w:rPr>
              <w:t>:00-2</w:t>
            </w:r>
            <w:r>
              <w:rPr>
                <w:rFonts w:hint="eastAsia" w:ascii="宋体" w:hAnsi="宋体" w:cs="宋体"/>
                <w:kern w:val="0"/>
                <w:szCs w:val="21"/>
                <w:lang w:val="en-US" w:eastAsia="zh-CN"/>
              </w:rPr>
              <w:t>2</w:t>
            </w:r>
            <w:r>
              <w:rPr>
                <w:rFonts w:hint="eastAsia" w:ascii="宋体" w:hAnsi="宋体" w:cs="宋体"/>
                <w:kern w:val="0"/>
                <w:szCs w:val="21"/>
              </w:rPr>
              <w:t>:00</w:t>
            </w:r>
          </w:p>
        </w:tc>
        <w:tc>
          <w:tcPr>
            <w:tcW w:w="8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开卷</w:t>
            </w:r>
          </w:p>
        </w:tc>
        <w:tc>
          <w:tcPr>
            <w:tcW w:w="152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无加试</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993" w:type="dxa"/>
            <w:tcBorders>
              <w:top w:val="single" w:color="auto" w:sz="4" w:space="0"/>
              <w:left w:val="nil"/>
              <w:bottom w:val="single" w:color="auto" w:sz="4" w:space="0"/>
              <w:right w:val="single" w:color="auto" w:sz="4" w:space="0"/>
            </w:tcBorders>
          </w:tcPr>
          <w:p>
            <w:pPr>
              <w:widowControl/>
              <w:jc w:val="center"/>
              <w:rPr>
                <w:rFonts w:ascii="宋体" w:hAnsi="宋体" w:cs="宋体"/>
                <w:kern w:val="0"/>
                <w:szCs w:val="21"/>
              </w:rPr>
            </w:pPr>
            <w:r>
              <w:rPr>
                <w:rFonts w:ascii="宋体" w:hAnsi="宋体" w:cs="宋体"/>
                <w:kern w:val="0"/>
                <w:szCs w:val="21"/>
              </w:rPr>
              <w:t>见</w:t>
            </w:r>
            <w:r>
              <w:rPr>
                <w:rFonts w:hint="eastAsia" w:ascii="宋体" w:hAnsi="宋体" w:cs="宋体"/>
                <w:kern w:val="0"/>
                <w:szCs w:val="21"/>
              </w:rPr>
              <w:t>“</w:t>
            </w:r>
            <w:r>
              <w:rPr>
                <w:rFonts w:ascii="宋体" w:hAnsi="宋体" w:cs="宋体"/>
                <w:kern w:val="0"/>
                <w:szCs w:val="21"/>
              </w:rPr>
              <w:t>综合素质面试和外语测试</w:t>
            </w:r>
            <w:r>
              <w:rPr>
                <w:rFonts w:hint="eastAsia" w:ascii="宋体" w:hAnsi="宋体" w:cs="宋体"/>
                <w:kern w:val="0"/>
                <w:szCs w:val="21"/>
              </w:rPr>
              <w:t>”</w:t>
            </w:r>
          </w:p>
        </w:tc>
        <w:tc>
          <w:tcPr>
            <w:tcW w:w="1239" w:type="dxa"/>
            <w:tcBorders>
              <w:top w:val="single" w:color="auto" w:sz="4" w:space="0"/>
              <w:left w:val="nil"/>
              <w:bottom w:val="single" w:color="auto" w:sz="4" w:space="0"/>
              <w:right w:val="single" w:color="auto" w:sz="4" w:space="0"/>
            </w:tcBorders>
          </w:tcPr>
          <w:p>
            <w:pPr>
              <w:widowControl/>
              <w:jc w:val="center"/>
              <w:rPr>
                <w:rFonts w:ascii="宋体" w:hAnsi="宋体" w:cs="宋体"/>
                <w:kern w:val="0"/>
                <w:szCs w:val="21"/>
              </w:rPr>
            </w:pPr>
            <w:r>
              <w:rPr>
                <w:rFonts w:ascii="宋体" w:hAnsi="宋体" w:cs="宋体"/>
                <w:kern w:val="0"/>
                <w:szCs w:val="21"/>
              </w:rPr>
              <w:t>开卷</w:t>
            </w:r>
          </w:p>
        </w:tc>
      </w:tr>
    </w:tbl>
    <w:p>
      <w:pPr>
        <w:widowControl/>
        <w:shd w:val="clear" w:color="auto" w:fill="FFFFFF"/>
        <w:spacing w:line="360" w:lineRule="atLeast"/>
        <w:ind w:firstLine="562" w:firstLineChars="200"/>
        <w:rPr>
          <w:rFonts w:ascii="仿宋" w:hAnsi="仿宋" w:eastAsia="仿宋" w:cs="宋体"/>
          <w:color w:val="000000"/>
          <w:kern w:val="0"/>
          <w:sz w:val="28"/>
          <w:szCs w:val="28"/>
          <w:shd w:val="clear" w:color="auto" w:fill="FFFFFF"/>
        </w:rPr>
      </w:pPr>
      <w:r>
        <w:rPr>
          <w:rFonts w:hint="eastAsia" w:ascii="仿宋" w:hAnsi="仿宋" w:eastAsia="仿宋" w:cs="宋体"/>
          <w:b/>
          <w:bCs/>
          <w:color w:val="000000"/>
          <w:kern w:val="0"/>
          <w:sz w:val="28"/>
          <w:szCs w:val="28"/>
          <w:shd w:val="clear" w:color="auto" w:fill="FFFFFF"/>
        </w:rPr>
        <w:t>2.复试程序</w:t>
      </w:r>
    </w:p>
    <w:p>
      <w:pPr>
        <w:widowControl/>
        <w:shd w:val="clear" w:color="auto" w:fill="FFFFFF"/>
        <w:spacing w:line="360" w:lineRule="atLeast"/>
        <w:ind w:firstLine="560" w:firstLineChars="200"/>
        <w:rPr>
          <w:rFonts w:ascii="仿宋" w:hAnsi="仿宋" w:eastAsia="仿宋" w:cs="宋体"/>
          <w:color w:val="333333"/>
          <w:kern w:val="0"/>
          <w:sz w:val="28"/>
          <w:szCs w:val="28"/>
        </w:rPr>
      </w:pPr>
      <w:r>
        <w:rPr>
          <w:rFonts w:hint="eastAsia" w:ascii="仿宋" w:hAnsi="仿宋" w:eastAsia="仿宋"/>
          <w:color w:val="333333"/>
          <w:sz w:val="28"/>
          <w:szCs w:val="28"/>
        </w:rPr>
        <w:t>缴纳复试费（100元/生）→提交复试材料→学院资格审查→签订《诚信复试承诺书》→进入复试各环节。</w:t>
      </w:r>
    </w:p>
    <w:p>
      <w:pPr>
        <w:widowControl/>
        <w:shd w:val="clear" w:color="auto" w:fill="FFFFFF"/>
        <w:spacing w:line="360" w:lineRule="atLeast"/>
        <w:ind w:firstLine="562" w:firstLineChars="200"/>
        <w:rPr>
          <w:rFonts w:ascii="仿宋" w:hAnsi="仿宋" w:eastAsia="仿宋" w:cs="宋体"/>
          <w:color w:val="333333"/>
          <w:kern w:val="0"/>
          <w:sz w:val="28"/>
          <w:szCs w:val="28"/>
        </w:rPr>
      </w:pPr>
      <w:r>
        <w:rPr>
          <w:rFonts w:hint="eastAsia" w:ascii="仿宋" w:hAnsi="仿宋" w:eastAsia="仿宋" w:cs="宋体"/>
          <w:b/>
          <w:bCs/>
          <w:color w:val="000000"/>
          <w:kern w:val="0"/>
          <w:sz w:val="28"/>
          <w:szCs w:val="28"/>
          <w:shd w:val="clear" w:color="auto" w:fill="FFFFFF"/>
        </w:rPr>
        <w:t>3.复试缴费及材料提交</w:t>
      </w:r>
    </w:p>
    <w:p>
      <w:pPr>
        <w:widowControl/>
        <w:shd w:val="clear" w:color="auto" w:fill="FFFFFF"/>
        <w:spacing w:line="360" w:lineRule="atLeast"/>
        <w:ind w:firstLine="560" w:firstLineChars="200"/>
        <w:rPr>
          <w:rFonts w:ascii="仿宋" w:hAnsi="仿宋" w:eastAsia="仿宋" w:cs="宋体"/>
          <w:color w:val="333333"/>
          <w:kern w:val="0"/>
          <w:sz w:val="28"/>
          <w:szCs w:val="28"/>
        </w:rPr>
      </w:pPr>
      <w:r>
        <w:rPr>
          <w:rFonts w:hint="eastAsia" w:ascii="仿宋" w:hAnsi="仿宋" w:eastAsia="仿宋" w:cs="宋体"/>
          <w:color w:val="000000"/>
          <w:kern w:val="0"/>
          <w:sz w:val="28"/>
          <w:szCs w:val="28"/>
          <w:shd w:val="clear" w:color="auto" w:fill="FFFFFF"/>
        </w:rPr>
        <w:t>（一）4月1</w:t>
      </w:r>
      <w:r>
        <w:rPr>
          <w:rFonts w:hint="eastAsia" w:ascii="仿宋" w:hAnsi="仿宋" w:eastAsia="仿宋" w:cs="宋体"/>
          <w:color w:val="000000"/>
          <w:kern w:val="0"/>
          <w:sz w:val="28"/>
          <w:szCs w:val="28"/>
          <w:shd w:val="clear" w:color="auto" w:fill="FFFFFF"/>
          <w:lang w:eastAsia="zh-CN"/>
        </w:rPr>
        <w:t>7</w:t>
      </w:r>
      <w:r>
        <w:rPr>
          <w:rFonts w:hint="eastAsia" w:ascii="仿宋" w:hAnsi="仿宋" w:eastAsia="仿宋" w:cs="宋体"/>
          <w:color w:val="000000"/>
          <w:kern w:val="0"/>
          <w:sz w:val="28"/>
          <w:szCs w:val="28"/>
          <w:shd w:val="clear" w:color="auto" w:fill="FFFFFF"/>
        </w:rPr>
        <w:t>日15：00</w:t>
      </w:r>
      <w:r>
        <w:rPr>
          <w:rFonts w:ascii="仿宋" w:hAnsi="仿宋" w:eastAsia="仿宋" w:cs="宋体"/>
          <w:color w:val="000000"/>
          <w:kern w:val="0"/>
          <w:sz w:val="28"/>
          <w:szCs w:val="28"/>
          <w:shd w:val="clear" w:color="auto" w:fill="FFFFFF"/>
        </w:rPr>
        <w:t>前在“智慧研招”系统</w:t>
      </w:r>
      <w:r>
        <w:rPr>
          <w:rFonts w:hint="eastAsia" w:ascii="仿宋" w:hAnsi="仿宋" w:eastAsia="仿宋"/>
          <w:sz w:val="28"/>
          <w:szCs w:val="28"/>
          <w:shd w:val="clear" w:color="auto" w:fill="FFFFFF"/>
        </w:rPr>
        <w:t>（</w:t>
      </w:r>
      <w:r>
        <w:rPr>
          <w:rFonts w:ascii="仿宋" w:hAnsi="仿宋" w:eastAsia="仿宋"/>
          <w:sz w:val="28"/>
          <w:szCs w:val="28"/>
        </w:rPr>
        <w:t>https://bdyzb.cugb.edu.cn/tp/zs/login/toLogin/ss</w:t>
      </w:r>
      <w:r>
        <w:rPr>
          <w:rFonts w:hint="eastAsia" w:ascii="仿宋" w:hAnsi="仿宋" w:eastAsia="仿宋"/>
          <w:sz w:val="28"/>
          <w:szCs w:val="28"/>
        </w:rPr>
        <w:t>）</w:t>
      </w:r>
      <w:r>
        <w:rPr>
          <w:rFonts w:ascii="仿宋" w:hAnsi="仿宋" w:eastAsia="仿宋" w:cs="宋体"/>
          <w:color w:val="000000"/>
          <w:kern w:val="0"/>
          <w:sz w:val="28"/>
          <w:szCs w:val="28"/>
          <w:shd w:val="clear" w:color="auto" w:fill="FFFFFF"/>
        </w:rPr>
        <w:t>中完成复试缴费及材料提交。考生用户名为考生编号，初试密码为考生身份证号。逾期未完成者视为主动放弃复试资格。</w:t>
      </w:r>
    </w:p>
    <w:p>
      <w:pPr>
        <w:widowControl/>
        <w:shd w:val="clear" w:color="auto" w:fill="FFFFFF"/>
        <w:spacing w:line="360" w:lineRule="atLeast"/>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rPr>
        <w:t>（三）须提交的具体复试材料及要求详见《中国地质大学（北京）经济管理学院</w:t>
      </w:r>
      <w:r>
        <w:rPr>
          <w:rFonts w:ascii="仿宋" w:hAnsi="仿宋" w:eastAsia="仿宋" w:cs="宋体"/>
          <w:color w:val="333333"/>
          <w:kern w:val="0"/>
          <w:sz w:val="28"/>
          <w:szCs w:val="28"/>
        </w:rPr>
        <w:t xml:space="preserve"> 2023年专业学位类硕士研究生复试录取工作方案</w:t>
      </w:r>
      <w:r>
        <w:rPr>
          <w:rFonts w:hint="eastAsia" w:ascii="仿宋" w:hAnsi="仿宋" w:eastAsia="仿宋" w:cs="宋体"/>
          <w:color w:val="333333"/>
          <w:kern w:val="0"/>
          <w:sz w:val="28"/>
          <w:szCs w:val="28"/>
        </w:rPr>
        <w:t>》（</w:t>
      </w:r>
      <w:r>
        <w:rPr>
          <w:rFonts w:ascii="仿宋" w:hAnsi="仿宋" w:eastAsia="仿宋" w:cs="宋体"/>
          <w:color w:val="333333"/>
          <w:kern w:val="0"/>
          <w:sz w:val="28"/>
          <w:szCs w:val="28"/>
        </w:rPr>
        <w:t>https://bm.cugb.edu.cn/mba/c/2023-03-23/773442.shtml</w:t>
      </w:r>
      <w:r>
        <w:rPr>
          <w:rFonts w:hint="eastAsia" w:ascii="仿宋" w:hAnsi="仿宋" w:eastAsia="仿宋" w:cs="宋体"/>
          <w:color w:val="333333"/>
          <w:kern w:val="0"/>
          <w:sz w:val="28"/>
          <w:szCs w:val="28"/>
        </w:rPr>
        <w:t>）。</w:t>
      </w:r>
    </w:p>
    <w:p>
      <w:pPr>
        <w:widowControl/>
        <w:shd w:val="clear" w:color="auto" w:fill="FFFFFF"/>
        <w:spacing w:line="360" w:lineRule="atLeast"/>
        <w:ind w:firstLine="643" w:firstLineChars="200"/>
        <w:rPr>
          <w:rFonts w:ascii="仿宋" w:hAnsi="仿宋" w:eastAsia="仿宋" w:cs="宋体"/>
          <w:color w:val="333333"/>
          <w:kern w:val="0"/>
          <w:sz w:val="32"/>
          <w:szCs w:val="32"/>
        </w:rPr>
      </w:pPr>
      <w:r>
        <w:rPr>
          <w:rFonts w:hint="eastAsia" w:ascii="仿宋" w:hAnsi="仿宋" w:eastAsia="仿宋" w:cs="宋体"/>
          <w:b/>
          <w:bCs/>
          <w:color w:val="000000"/>
          <w:kern w:val="0"/>
          <w:sz w:val="32"/>
          <w:szCs w:val="32"/>
        </w:rPr>
        <w:t>五、说明</w:t>
      </w:r>
    </w:p>
    <w:p>
      <w:pPr>
        <w:pStyle w:val="5"/>
        <w:shd w:val="clear" w:color="auto" w:fill="FFFFFF"/>
        <w:wordWrap w:val="0"/>
        <w:spacing w:before="0" w:beforeAutospacing="0" w:after="0" w:afterAutospacing="0"/>
        <w:ind w:firstLine="450"/>
        <w:jc w:val="both"/>
        <w:rPr>
          <w:rFonts w:ascii="仿宋" w:hAnsi="仿宋" w:eastAsia="仿宋"/>
          <w:color w:val="333333"/>
          <w:sz w:val="28"/>
          <w:szCs w:val="28"/>
        </w:rPr>
      </w:pPr>
      <w:r>
        <w:rPr>
          <w:rFonts w:hint="eastAsia" w:ascii="仿宋" w:hAnsi="仿宋" w:eastAsia="仿宋"/>
          <w:color w:val="333333"/>
          <w:sz w:val="28"/>
          <w:szCs w:val="28"/>
        </w:rPr>
        <w:t>1.收到复试通知的调剂考生须严格按照我院规定的时间、地点参加复试，逾期视为自动放弃复试资格。通过复试的考生收到我校“待录取”通知后，须在规定时间内予以确认，逾期将视为自动放弃。通过调剂系统确认已接收其他招生单位或其他专业“待录取”通知的考生，视为自动放弃该调剂专业的调剂复试资格和拟录取资格，我院将按照调剂复试录取成绩高低顺次拟录取下一位复试合格考生。</w:t>
      </w:r>
    </w:p>
    <w:p>
      <w:pPr>
        <w:widowControl/>
        <w:shd w:val="clear" w:color="auto" w:fill="FFFFFF"/>
        <w:spacing w:line="360" w:lineRule="atLeast"/>
        <w:ind w:firstLine="560" w:firstLineChars="200"/>
        <w:rPr>
          <w:rFonts w:ascii="仿宋" w:hAnsi="仿宋" w:eastAsia="仿宋" w:cs="宋体"/>
          <w:color w:val="333333"/>
          <w:kern w:val="0"/>
          <w:sz w:val="28"/>
          <w:szCs w:val="28"/>
        </w:rPr>
      </w:pPr>
      <w:r>
        <w:rPr>
          <w:rFonts w:hint="eastAsia" w:ascii="仿宋" w:hAnsi="仿宋" w:eastAsia="仿宋" w:cs="宋体"/>
          <w:color w:val="000000"/>
          <w:kern w:val="0"/>
          <w:sz w:val="28"/>
          <w:szCs w:val="28"/>
        </w:rPr>
        <w:t>2.其他信息请参见《</w:t>
      </w:r>
      <w:r>
        <w:rPr>
          <w:rFonts w:hint="eastAsia" w:ascii="仿宋" w:hAnsi="仿宋" w:eastAsia="仿宋" w:cs="宋体"/>
          <w:color w:val="333333"/>
          <w:kern w:val="0"/>
          <w:sz w:val="28"/>
          <w:szCs w:val="28"/>
        </w:rPr>
        <w:t>中国地质大学（北京）经济管理学院</w:t>
      </w:r>
      <w:r>
        <w:rPr>
          <w:rFonts w:ascii="仿宋" w:hAnsi="仿宋" w:eastAsia="仿宋" w:cs="宋体"/>
          <w:color w:val="333333"/>
          <w:kern w:val="0"/>
          <w:sz w:val="28"/>
          <w:szCs w:val="28"/>
        </w:rPr>
        <w:t xml:space="preserve"> 2023年专业学位类硕士研究生复试录取工作方案</w:t>
      </w:r>
      <w:r>
        <w:rPr>
          <w:rFonts w:hint="eastAsia" w:ascii="仿宋" w:hAnsi="仿宋" w:eastAsia="仿宋" w:cs="宋体"/>
          <w:color w:val="000000"/>
          <w:kern w:val="0"/>
          <w:sz w:val="28"/>
          <w:szCs w:val="28"/>
        </w:rPr>
        <w:t>》</w:t>
      </w:r>
      <w:r>
        <w:rPr>
          <w:rFonts w:hint="eastAsia" w:ascii="仿宋" w:hAnsi="仿宋" w:eastAsia="仿宋" w:cs="宋体"/>
          <w:color w:val="333333"/>
          <w:kern w:val="0"/>
          <w:sz w:val="28"/>
          <w:szCs w:val="28"/>
        </w:rPr>
        <w:t>（</w:t>
      </w:r>
      <w:r>
        <w:rPr>
          <w:rFonts w:ascii="仿宋" w:hAnsi="仿宋" w:eastAsia="仿宋" w:cs="宋体"/>
          <w:color w:val="333333"/>
          <w:kern w:val="0"/>
          <w:sz w:val="28"/>
          <w:szCs w:val="28"/>
        </w:rPr>
        <w:t>https://bm.cugb.edu.cn/mba/c/2023-03-23/773442.shtml</w:t>
      </w:r>
      <w:r>
        <w:rPr>
          <w:rFonts w:hint="eastAsia" w:ascii="仿宋" w:hAnsi="仿宋" w:eastAsia="仿宋" w:cs="宋体"/>
          <w:color w:val="333333"/>
          <w:kern w:val="0"/>
          <w:sz w:val="28"/>
          <w:szCs w:val="28"/>
        </w:rPr>
        <w:t>）</w:t>
      </w:r>
      <w:r>
        <w:rPr>
          <w:rFonts w:hint="eastAsia" w:ascii="仿宋" w:hAnsi="仿宋" w:eastAsia="仿宋" w:cs="宋体"/>
          <w:color w:val="000000"/>
          <w:kern w:val="0"/>
          <w:sz w:val="28"/>
          <w:szCs w:val="28"/>
        </w:rPr>
        <w:t>。</w:t>
      </w:r>
    </w:p>
    <w:p>
      <w:pPr>
        <w:widowControl/>
        <w:shd w:val="clear" w:color="auto" w:fill="FFFFFF"/>
        <w:spacing w:line="360" w:lineRule="atLeast"/>
        <w:ind w:firstLine="560" w:firstLineChars="200"/>
        <w:rPr>
          <w:rFonts w:ascii="仿宋" w:hAnsi="仿宋" w:eastAsia="仿宋" w:cs="宋体"/>
          <w:color w:val="333333"/>
          <w:kern w:val="0"/>
          <w:sz w:val="28"/>
          <w:szCs w:val="28"/>
        </w:rPr>
      </w:pPr>
    </w:p>
    <w:p>
      <w:pPr>
        <w:widowControl/>
        <w:shd w:val="clear" w:color="auto" w:fill="FFFFFF"/>
        <w:spacing w:line="360" w:lineRule="atLeast"/>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rPr>
        <w:t>请及时关注中国地质大学（北京）研究生院招生信息、经济管理学院网站招生信息相关通知。</w:t>
      </w:r>
    </w:p>
    <w:p>
      <w:pPr>
        <w:widowControl/>
        <w:shd w:val="clear" w:color="auto" w:fill="FFFFFF"/>
        <w:spacing w:line="360" w:lineRule="atLeast"/>
        <w:ind w:firstLine="560" w:firstLineChars="200"/>
        <w:rPr>
          <w:rFonts w:ascii="仿宋" w:hAnsi="仿宋" w:eastAsia="仿宋" w:cs="宋体"/>
          <w:color w:val="333333"/>
          <w:kern w:val="0"/>
          <w:sz w:val="28"/>
          <w:szCs w:val="28"/>
        </w:rPr>
      </w:pPr>
    </w:p>
    <w:p>
      <w:pPr>
        <w:widowControl/>
        <w:shd w:val="clear" w:color="auto" w:fill="FFFFFF"/>
        <w:spacing w:line="360" w:lineRule="atLeast"/>
        <w:jc w:val="right"/>
        <w:rPr>
          <w:rFonts w:ascii="仿宋" w:hAnsi="仿宋" w:eastAsia="仿宋" w:cs="宋体"/>
          <w:color w:val="333333"/>
          <w:kern w:val="0"/>
          <w:sz w:val="28"/>
          <w:szCs w:val="28"/>
        </w:rPr>
      </w:pPr>
      <w:r>
        <w:rPr>
          <w:rFonts w:hint="eastAsia" w:ascii="仿宋" w:hAnsi="仿宋" w:eastAsia="仿宋" w:cs="宋体"/>
          <w:color w:val="333333"/>
          <w:kern w:val="0"/>
          <w:sz w:val="28"/>
          <w:szCs w:val="28"/>
        </w:rPr>
        <w:t>中国地质大学（北京）经济管理</w:t>
      </w:r>
      <w:r>
        <w:rPr>
          <w:rFonts w:hint="eastAsia" w:ascii="仿宋" w:hAnsi="仿宋" w:eastAsia="仿宋" w:cs="宋体"/>
          <w:color w:val="000000"/>
          <w:kern w:val="0"/>
          <w:sz w:val="28"/>
          <w:szCs w:val="28"/>
        </w:rPr>
        <w:t>学院</w:t>
      </w:r>
    </w:p>
    <w:p>
      <w:pPr>
        <w:widowControl/>
        <w:shd w:val="clear" w:color="auto" w:fill="FFFFFF"/>
        <w:spacing w:line="360" w:lineRule="atLeast"/>
        <w:ind w:firstLine="5600" w:firstLineChars="2000"/>
        <w:jc w:val="right"/>
        <w:rPr>
          <w:rFonts w:ascii="仿宋" w:hAnsi="仿宋" w:eastAsia="仿宋" w:cs="宋体"/>
          <w:color w:val="333333"/>
          <w:kern w:val="0"/>
          <w:sz w:val="28"/>
          <w:szCs w:val="28"/>
        </w:rPr>
      </w:pPr>
      <w:r>
        <w:rPr>
          <w:rFonts w:hint="eastAsia" w:ascii="仿宋" w:hAnsi="仿宋" w:eastAsia="仿宋" w:cs="宋体"/>
          <w:color w:val="000000"/>
          <w:kern w:val="0"/>
          <w:sz w:val="28"/>
          <w:szCs w:val="28"/>
        </w:rPr>
        <w:t>2023年4月1</w:t>
      </w:r>
      <w:r>
        <w:rPr>
          <w:rFonts w:hint="eastAsia" w:ascii="仿宋" w:hAnsi="仿宋" w:eastAsia="仿宋" w:cs="宋体"/>
          <w:color w:val="000000"/>
          <w:kern w:val="0"/>
          <w:sz w:val="28"/>
          <w:szCs w:val="28"/>
          <w:lang w:eastAsia="zh-CN"/>
        </w:rPr>
        <w:t>6</w:t>
      </w:r>
      <w:r>
        <w:rPr>
          <w:rFonts w:hint="eastAsia" w:ascii="仿宋" w:hAnsi="仿宋" w:eastAsia="仿宋" w:cs="宋体"/>
          <w:color w:val="000000"/>
          <w:kern w:val="0"/>
          <w:sz w:val="28"/>
          <w:szCs w:val="28"/>
        </w:rPr>
        <w:t>日</w:t>
      </w:r>
    </w:p>
    <w:p>
      <w:pPr>
        <w:rPr>
          <w:rFonts w:ascii="仿宋" w:hAnsi="仿宋" w:eastAsia="仿宋"/>
          <w:sz w:val="32"/>
          <w:szCs w:val="32"/>
        </w:rPr>
      </w:pPr>
    </w:p>
    <w:sectPr>
      <w:pgSz w:w="11906" w:h="16838"/>
      <w:pgMar w:top="1440" w:right="1406" w:bottom="1440" w:left="140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2YjdiMzUzZjUwNTdmMzAyMTM4MTZmYjAyYTg1OGQifQ=="/>
  </w:docVars>
  <w:rsids>
    <w:rsidRoot w:val="00000000"/>
    <w:rsid w:val="04DD21CB"/>
    <w:rsid w:val="65174A38"/>
    <w:rsid w:val="68ED36B6"/>
    <w:rsid w:val="74C52D4E"/>
    <w:rsid w:val="7BF97532"/>
    <w:rsid w:val="7F030E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styleId="10">
    <w:name w:val="Hyperlink"/>
    <w:basedOn w:val="8"/>
    <w:unhideWhenUsed/>
    <w:qFormat/>
    <w:uiPriority w:val="99"/>
    <w:rPr>
      <w:color w:val="0563C1" w:themeColor="hyperlink"/>
      <w:u w:val="single"/>
      <w14:textFill>
        <w14:solidFill>
          <w14:schemeClr w14:val="hlink"/>
        </w14:solidFill>
      </w14:textFill>
    </w:rPr>
  </w:style>
  <w:style w:type="character" w:customStyle="1" w:styleId="11">
    <w:name w:val="标题 1 Char"/>
    <w:basedOn w:val="8"/>
    <w:link w:val="2"/>
    <w:qFormat/>
    <w:uiPriority w:val="9"/>
    <w:rPr>
      <w:rFonts w:ascii="宋体" w:hAnsi="宋体" w:eastAsia="宋体" w:cs="宋体"/>
      <w:b/>
      <w:bCs/>
      <w:kern w:val="36"/>
      <w:sz w:val="48"/>
      <w:szCs w:val="48"/>
    </w:rPr>
  </w:style>
  <w:style w:type="character" w:customStyle="1" w:styleId="12">
    <w:name w:val="页眉 Char"/>
    <w:basedOn w:val="8"/>
    <w:link w:val="4"/>
    <w:qFormat/>
    <w:uiPriority w:val="99"/>
    <w:rPr>
      <w:sz w:val="18"/>
      <w:szCs w:val="18"/>
    </w:rPr>
  </w:style>
  <w:style w:type="character" w:customStyle="1" w:styleId="13">
    <w:name w:val="页脚 Char"/>
    <w:basedOn w:val="8"/>
    <w:link w:val="3"/>
    <w:qFormat/>
    <w:uiPriority w:val="99"/>
    <w:rPr>
      <w:sz w:val="18"/>
      <w:szCs w:val="18"/>
    </w:rPr>
  </w:style>
  <w:style w:type="paragraph" w:customStyle="1" w:styleId="14">
    <w:name w:val="List Paragraph"/>
    <w:basedOn w:val="1"/>
    <w:qFormat/>
    <w:uiPriority w:val="34"/>
    <w:pPr>
      <w:ind w:firstLine="420" w:firstLineChars="200"/>
    </w:pPr>
  </w:style>
  <w:style w:type="character" w:customStyle="1" w:styleId="15">
    <w:name w:val="Unresolved Mention"/>
    <w:basedOn w:val="8"/>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1464</Words>
  <Characters>1770</Characters>
  <Lines>13</Lines>
  <Paragraphs>3</Paragraphs>
  <TotalTime>4</TotalTime>
  <ScaleCrop>false</ScaleCrop>
  <LinksUpToDate>false</LinksUpToDate>
  <CharactersWithSpaces>1781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2023-04-12T09:21:00Z</dcterms:created>
  <dc:creator>Yang YU</dc:creator>
  <cp:lastModifiedBy>christine</cp:lastModifiedBy>
  <dcterms:modified xsi:type="dcterms:W3CDTF">2023-04-15T14:56:11Z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278C009BDA4747769E6DA231BA2A44ED</vt:lpwstr>
  </property>
</Properties>
</file>