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仿宋" w:hAnsi="仿宋" w:eastAsia="仿宋"/>
          <w:color w:val="auto"/>
          <w:sz w:val="36"/>
          <w:szCs w:val="36"/>
        </w:rPr>
      </w:pPr>
      <w:r>
        <w:rPr>
          <w:rFonts w:hint="eastAsia" w:ascii="仿宋" w:hAnsi="仿宋" w:eastAsia="仿宋"/>
          <w:color w:val="auto"/>
          <w:sz w:val="36"/>
          <w:szCs w:val="36"/>
        </w:rPr>
        <w:t>中国地质大学（北京）经济管理学院</w:t>
      </w:r>
    </w:p>
    <w:p>
      <w:pPr>
        <w:pStyle w:val="2"/>
        <w:shd w:val="clear" w:color="auto" w:fill="FFFFFF"/>
        <w:spacing w:before="0" w:beforeAutospacing="0" w:after="0" w:afterAutospacing="0"/>
        <w:jc w:val="center"/>
        <w:rPr>
          <w:rFonts w:ascii="仿宋" w:hAnsi="仿宋" w:eastAsia="仿宋"/>
          <w:color w:val="auto"/>
          <w:sz w:val="36"/>
          <w:szCs w:val="36"/>
        </w:rPr>
      </w:pPr>
      <w:r>
        <w:rPr>
          <w:rFonts w:hint="eastAsia" w:ascii="仿宋" w:hAnsi="仿宋" w:eastAsia="仿宋"/>
          <w:color w:val="auto"/>
          <w:sz w:val="36"/>
          <w:szCs w:val="36"/>
        </w:rPr>
        <w:t>2023年</w:t>
      </w:r>
      <w:r>
        <w:rPr>
          <w:rFonts w:hint="eastAsia" w:ascii="仿宋" w:hAnsi="仿宋" w:eastAsia="仿宋"/>
          <w:color w:val="auto"/>
          <w:sz w:val="36"/>
          <w:szCs w:val="36"/>
          <w:highlight w:val="none"/>
          <w:lang w:val="en-US" w:eastAsia="zh-CN"/>
        </w:rPr>
        <w:t>专业学位</w:t>
      </w:r>
      <w:r>
        <w:rPr>
          <w:rFonts w:hint="eastAsia" w:ascii="仿宋" w:hAnsi="仿宋" w:eastAsia="仿宋"/>
          <w:color w:val="auto"/>
          <w:sz w:val="36"/>
          <w:szCs w:val="36"/>
        </w:rPr>
        <w:t>硕士研究生接收调剂公告</w:t>
      </w:r>
    </w:p>
    <w:p>
      <w:pPr>
        <w:widowControl/>
        <w:shd w:val="clear" w:color="auto" w:fill="FFFFFF"/>
        <w:spacing w:line="360" w:lineRule="atLeast"/>
        <w:rPr>
          <w:rFonts w:ascii="仿宋" w:hAnsi="仿宋" w:eastAsia="仿宋" w:cs="宋体"/>
          <w:color w:val="auto"/>
          <w:kern w:val="0"/>
          <w:sz w:val="32"/>
          <w:szCs w:val="32"/>
          <w:shd w:val="clear" w:color="auto" w:fill="FFFFFF"/>
        </w:rPr>
      </w:pPr>
    </w:p>
    <w:p>
      <w:pPr>
        <w:widowControl/>
        <w:shd w:val="clear" w:color="auto" w:fill="FFFFFF"/>
        <w:spacing w:line="360" w:lineRule="atLeast"/>
        <w:ind w:firstLine="560" w:firstLineChars="200"/>
        <w:rPr>
          <w:rFonts w:hint="eastAsia"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根据教育部和北京市教育考试院相关文件要求，结合我院2023年硕士研究生招生计划和一志愿上线情况，现公布2023年硕士研究生拟调剂信息，具体信息以我校各专业在“全国硕士研究生招生调剂服务系统”发布的调剂信息为准，欢迎有意向调剂我院的考生密切关注我校研究生招生网和经管学院网站。</w:t>
      </w:r>
    </w:p>
    <w:p>
      <w:pPr>
        <w:widowControl/>
        <w:shd w:val="clear" w:color="auto" w:fill="FFFFFF"/>
        <w:spacing w:line="360" w:lineRule="atLeast"/>
        <w:rPr>
          <w:rFonts w:hint="eastAsia" w:ascii="仿宋" w:hAnsi="仿宋" w:eastAsia="仿宋" w:cs="宋体"/>
          <w:color w:val="000000"/>
          <w:kern w:val="0"/>
          <w:sz w:val="28"/>
          <w:szCs w:val="28"/>
          <w:shd w:val="clear" w:color="auto" w:fill="FFFFFF"/>
        </w:rPr>
      </w:pPr>
      <w:r>
        <w:rPr>
          <w:rFonts w:hint="eastAsia" w:ascii="仿宋" w:hAnsi="仿宋" w:eastAsia="仿宋" w:cs="宋体"/>
          <w:b/>
          <w:bCs/>
          <w:color w:val="000000"/>
          <w:kern w:val="0"/>
          <w:sz w:val="32"/>
          <w:szCs w:val="32"/>
        </w:rPr>
        <w:t>一、拟接收调剂专业、指标和分数线</w:t>
      </w:r>
      <w:bookmarkStart w:id="1" w:name="_GoBack"/>
      <w:bookmarkEnd w:id="1"/>
    </w:p>
    <w:tbl>
      <w:tblPr>
        <w:tblStyle w:val="6"/>
        <w:tblpPr w:leftFromText="180" w:rightFromText="180" w:vertAnchor="text" w:horzAnchor="page" w:tblpX="1474" w:tblpY="606"/>
        <w:tblOverlap w:val="never"/>
        <w:tblW w:w="960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162"/>
        <w:gridCol w:w="913"/>
        <w:gridCol w:w="1296"/>
        <w:gridCol w:w="1366"/>
        <w:gridCol w:w="1068"/>
        <w:gridCol w:w="1518"/>
        <w:gridCol w:w="1358"/>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1162"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学习方式</w:t>
            </w:r>
          </w:p>
        </w:tc>
        <w:tc>
          <w:tcPr>
            <w:tcW w:w="913"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类型</w:t>
            </w:r>
          </w:p>
        </w:tc>
        <w:tc>
          <w:tcPr>
            <w:tcW w:w="1296" w:type="dxa"/>
            <w:vMerge w:val="restart"/>
            <w:shd w:val="clear" w:color="auto" w:fill="FFFFFF"/>
            <w:tcMar>
              <w:top w:w="0" w:type="dxa"/>
              <w:left w:w="108" w:type="dxa"/>
              <w:bottom w:w="0" w:type="dxa"/>
              <w:right w:w="108" w:type="dxa"/>
            </w:tcMa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接收调剂专业</w:t>
            </w:r>
          </w:p>
        </w:tc>
        <w:tc>
          <w:tcPr>
            <w:tcW w:w="1366"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接收调剂方向</w:t>
            </w:r>
          </w:p>
        </w:tc>
        <w:tc>
          <w:tcPr>
            <w:tcW w:w="1068"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拟接收调剂指标</w:t>
            </w:r>
          </w:p>
        </w:tc>
        <w:tc>
          <w:tcPr>
            <w:tcW w:w="3795" w:type="dxa"/>
            <w:gridSpan w:val="3"/>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调剂分数线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43" w:hRule="atLeast"/>
        </w:trPr>
        <w:tc>
          <w:tcPr>
            <w:tcW w:w="1162" w:type="dxa"/>
            <w:vMerge w:val="continue"/>
            <w:shd w:val="clear" w:color="auto" w:fill="FFFFFF"/>
            <w:tcMar>
              <w:top w:w="0" w:type="dxa"/>
              <w:left w:w="108" w:type="dxa"/>
              <w:bottom w:w="0" w:type="dxa"/>
              <w:right w:w="108" w:type="dxa"/>
            </w:tcMar>
          </w:tcPr>
          <w:p>
            <w:pPr>
              <w:widowControl/>
              <w:spacing w:line="360" w:lineRule="atLeast"/>
            </w:pPr>
          </w:p>
        </w:tc>
        <w:tc>
          <w:tcPr>
            <w:tcW w:w="913" w:type="dxa"/>
            <w:vMerge w:val="continue"/>
            <w:shd w:val="clear" w:color="auto" w:fill="FFFFFF"/>
            <w:tcMar>
              <w:top w:w="0" w:type="dxa"/>
              <w:left w:w="108" w:type="dxa"/>
              <w:bottom w:w="0" w:type="dxa"/>
              <w:right w:w="108" w:type="dxa"/>
            </w:tcMar>
          </w:tcPr>
          <w:p>
            <w:pPr>
              <w:widowControl/>
              <w:spacing w:line="360" w:lineRule="atLeast"/>
            </w:pPr>
          </w:p>
        </w:tc>
        <w:tc>
          <w:tcPr>
            <w:tcW w:w="1296" w:type="dxa"/>
            <w:vMerge w:val="continue"/>
            <w:shd w:val="clear" w:color="auto" w:fill="FFFFFF"/>
            <w:tcMar>
              <w:top w:w="0" w:type="dxa"/>
              <w:left w:w="108" w:type="dxa"/>
              <w:bottom w:w="0" w:type="dxa"/>
              <w:right w:w="108" w:type="dxa"/>
            </w:tcMar>
          </w:tcPr>
          <w:p>
            <w:pPr>
              <w:widowControl/>
              <w:spacing w:line="360" w:lineRule="atLeast"/>
            </w:pPr>
          </w:p>
        </w:tc>
        <w:tc>
          <w:tcPr>
            <w:tcW w:w="1366" w:type="dxa"/>
            <w:vMerge w:val="continue"/>
            <w:shd w:val="clear" w:color="auto" w:fill="FFFFFF"/>
            <w:tcMar>
              <w:top w:w="0" w:type="dxa"/>
              <w:left w:w="108" w:type="dxa"/>
              <w:bottom w:w="0" w:type="dxa"/>
              <w:right w:w="108" w:type="dxa"/>
            </w:tcMar>
          </w:tcPr>
          <w:p>
            <w:pPr>
              <w:widowControl/>
              <w:spacing w:line="360" w:lineRule="atLeast"/>
            </w:pPr>
          </w:p>
        </w:tc>
        <w:tc>
          <w:tcPr>
            <w:tcW w:w="1068" w:type="dxa"/>
            <w:vMerge w:val="continue"/>
            <w:shd w:val="clear" w:color="auto" w:fill="FFFFFF"/>
            <w:tcMar>
              <w:top w:w="0" w:type="dxa"/>
              <w:left w:w="108" w:type="dxa"/>
              <w:bottom w:w="0" w:type="dxa"/>
              <w:right w:w="108" w:type="dxa"/>
            </w:tcMar>
          </w:tcPr>
          <w:p>
            <w:pPr>
              <w:widowControl/>
              <w:spacing w:line="360" w:lineRule="atLeast"/>
            </w:pPr>
          </w:p>
        </w:tc>
        <w:tc>
          <w:tcPr>
            <w:tcW w:w="1518" w:type="dxa"/>
            <w:shd w:val="clear" w:color="auto" w:fill="FFFFFF"/>
            <w:tcMar>
              <w:top w:w="0" w:type="dxa"/>
              <w:left w:w="108" w:type="dxa"/>
              <w:bottom w:w="0" w:type="dxa"/>
              <w:right w:w="108" w:type="dxa"/>
            </w:tcMar>
          </w:tcPr>
          <w:p>
            <w:pPr>
              <w:widowControl/>
              <w:spacing w:line="360"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单科（满分=100分）</w:t>
            </w:r>
          </w:p>
        </w:tc>
        <w:tc>
          <w:tcPr>
            <w:tcW w:w="1358" w:type="dxa"/>
            <w:shd w:val="clear" w:color="auto" w:fill="FFFFFF"/>
            <w:tcMar>
              <w:top w:w="0" w:type="dxa"/>
              <w:left w:w="108" w:type="dxa"/>
              <w:bottom w:w="0" w:type="dxa"/>
              <w:right w:w="108" w:type="dxa"/>
            </w:tcMar>
          </w:tcPr>
          <w:p>
            <w:pPr>
              <w:widowControl/>
              <w:spacing w:line="360"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单科（满分&gt;100分）</w:t>
            </w:r>
          </w:p>
        </w:tc>
        <w:tc>
          <w:tcPr>
            <w:tcW w:w="919" w:type="dxa"/>
            <w:shd w:val="clear" w:color="auto" w:fill="FFFFFF"/>
            <w:tcMar>
              <w:top w:w="0" w:type="dxa"/>
              <w:left w:w="108" w:type="dxa"/>
              <w:bottom w:w="0" w:type="dxa"/>
              <w:right w:w="108" w:type="dxa"/>
            </w:tcMar>
          </w:tcPr>
          <w:p>
            <w:pPr>
              <w:widowControl/>
              <w:spacing w:line="360" w:lineRule="atLeast"/>
              <w:rPr>
                <w:rFonts w:ascii="仿宋" w:hAnsi="仿宋" w:eastAsia="仿宋" w:cs="宋体"/>
                <w:color w:val="333333"/>
                <w:kern w:val="0"/>
                <w:sz w:val="24"/>
                <w:szCs w:val="24"/>
              </w:rPr>
            </w:pPr>
            <w:r>
              <w:rPr>
                <w:rFonts w:hint="eastAsia" w:ascii="仿宋" w:hAnsi="仿宋" w:eastAsia="仿宋" w:cs="宋体"/>
                <w:color w:val="333333"/>
                <w:kern w:val="0"/>
                <w:sz w:val="24"/>
                <w:szCs w:val="24"/>
              </w:rPr>
              <w:t>总分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w:t>
            </w:r>
          </w:p>
        </w:tc>
        <w:tc>
          <w:tcPr>
            <w:tcW w:w="913"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公共管理</w:t>
            </w:r>
            <w:r>
              <w:rPr>
                <w:rFonts w:hint="eastAsia" w:ascii="仿宋" w:hAnsi="仿宋" w:eastAsia="仿宋" w:cs="宋体"/>
                <w:color w:val="333333"/>
                <w:kern w:val="0"/>
                <w:sz w:val="24"/>
                <w:szCs w:val="24"/>
              </w:rPr>
              <w:t>（MPA）</w:t>
            </w:r>
          </w:p>
        </w:tc>
        <w:tc>
          <w:tcPr>
            <w:tcW w:w="136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政府管理与公共政策</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公共部门人力资源管理</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自然资源管理</w:t>
            </w:r>
          </w:p>
        </w:tc>
        <w:tc>
          <w:tcPr>
            <w:tcW w:w="106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27</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4</w:t>
            </w:r>
            <w:r>
              <w:rPr>
                <w:rFonts w:hint="eastAsia" w:ascii="仿宋" w:hAnsi="仿宋" w:eastAsia="仿宋" w:cs="宋体"/>
                <w:color w:val="333333"/>
                <w:kern w:val="0"/>
                <w:sz w:val="24"/>
                <w:szCs w:val="24"/>
              </w:rPr>
              <w:t>4</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88</w:t>
            </w:r>
          </w:p>
        </w:tc>
        <w:tc>
          <w:tcPr>
            <w:tcW w:w="919"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17</w:t>
            </w:r>
            <w:r>
              <w:rPr>
                <w:rFonts w:hint="eastAsia" w:ascii="仿宋" w:hAnsi="仿宋" w:eastAsia="仿宋" w:cs="宋体"/>
                <w:color w:val="333333"/>
                <w:kern w:val="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w:t>
            </w:r>
          </w:p>
        </w:tc>
        <w:tc>
          <w:tcPr>
            <w:tcW w:w="913"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工商管理</w:t>
            </w:r>
            <w:r>
              <w:rPr>
                <w:rFonts w:hint="eastAsia" w:ascii="仿宋" w:hAnsi="仿宋" w:eastAsia="仿宋" w:cs="宋体"/>
                <w:color w:val="333333"/>
                <w:kern w:val="0"/>
                <w:sz w:val="24"/>
                <w:szCs w:val="24"/>
              </w:rPr>
              <w:t>（MBA）</w:t>
            </w:r>
          </w:p>
        </w:tc>
        <w:tc>
          <w:tcPr>
            <w:tcW w:w="136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企业战略与运用管理</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珠宝商务</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资源型企业经营管理</w:t>
            </w:r>
          </w:p>
        </w:tc>
        <w:tc>
          <w:tcPr>
            <w:tcW w:w="106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32</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4</w:t>
            </w:r>
            <w:r>
              <w:rPr>
                <w:rFonts w:hint="eastAsia" w:ascii="仿宋" w:hAnsi="仿宋" w:eastAsia="仿宋" w:cs="宋体"/>
                <w:color w:val="333333"/>
                <w:kern w:val="0"/>
                <w:sz w:val="24"/>
                <w:szCs w:val="24"/>
              </w:rPr>
              <w:t>1</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8</w:t>
            </w:r>
            <w:r>
              <w:rPr>
                <w:rFonts w:hint="eastAsia" w:ascii="仿宋" w:hAnsi="仿宋" w:eastAsia="仿宋" w:cs="宋体"/>
                <w:color w:val="333333"/>
                <w:kern w:val="0"/>
                <w:sz w:val="24"/>
                <w:szCs w:val="24"/>
              </w:rPr>
              <w:t>2</w:t>
            </w:r>
          </w:p>
        </w:tc>
        <w:tc>
          <w:tcPr>
            <w:tcW w:w="919"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1</w:t>
            </w:r>
            <w:r>
              <w:rPr>
                <w:rFonts w:hint="eastAsia" w:ascii="仿宋" w:hAnsi="仿宋" w:eastAsia="仿宋" w:cs="宋体"/>
                <w:color w:val="333333"/>
                <w:kern w:val="0"/>
                <w:sz w:val="24"/>
                <w:szCs w:val="24"/>
              </w:rPr>
              <w:t>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w:t>
            </w:r>
          </w:p>
        </w:tc>
        <w:tc>
          <w:tcPr>
            <w:tcW w:w="913"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会计</w:t>
            </w:r>
            <w:r>
              <w:rPr>
                <w:rFonts w:hint="eastAsia" w:ascii="仿宋" w:hAnsi="仿宋" w:eastAsia="仿宋" w:cs="宋体"/>
                <w:color w:val="333333"/>
                <w:kern w:val="0"/>
                <w:sz w:val="24"/>
                <w:szCs w:val="24"/>
              </w:rPr>
              <w:t>（MPAcc）</w:t>
            </w:r>
          </w:p>
        </w:tc>
        <w:tc>
          <w:tcPr>
            <w:tcW w:w="136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财务会计，财务管理，审计，资源核算与环境审计</w:t>
            </w:r>
          </w:p>
        </w:tc>
        <w:tc>
          <w:tcPr>
            <w:tcW w:w="106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24</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5</w:t>
            </w:r>
            <w:r>
              <w:rPr>
                <w:rFonts w:hint="eastAsia" w:ascii="仿宋" w:hAnsi="仿宋" w:eastAsia="仿宋" w:cs="宋体"/>
                <w:color w:val="333333"/>
                <w:kern w:val="0"/>
                <w:sz w:val="24"/>
                <w:szCs w:val="24"/>
              </w:rPr>
              <w:t>1</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10</w:t>
            </w:r>
            <w:r>
              <w:rPr>
                <w:rFonts w:hint="eastAsia" w:ascii="仿宋" w:hAnsi="仿宋" w:eastAsia="仿宋" w:cs="宋体"/>
                <w:color w:val="333333"/>
                <w:kern w:val="0"/>
                <w:sz w:val="24"/>
                <w:szCs w:val="24"/>
              </w:rPr>
              <w:t>2</w:t>
            </w:r>
          </w:p>
        </w:tc>
        <w:tc>
          <w:tcPr>
            <w:tcW w:w="919"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2</w:t>
            </w:r>
            <w:r>
              <w:rPr>
                <w:rFonts w:hint="eastAsia" w:ascii="仿宋" w:hAnsi="仿宋" w:eastAsia="仿宋" w:cs="宋体"/>
                <w:color w:val="333333"/>
                <w:kern w:val="0"/>
                <w:sz w:val="24"/>
                <w:szCs w:val="24"/>
              </w:rPr>
              <w:t>1</w:t>
            </w:r>
            <w:r>
              <w:rPr>
                <w:rFonts w:ascii="仿宋" w:hAnsi="仿宋" w:eastAsia="仿宋" w:cs="宋体"/>
                <w:color w:val="333333"/>
                <w:ker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全日制</w:t>
            </w:r>
          </w:p>
        </w:tc>
        <w:tc>
          <w:tcPr>
            <w:tcW w:w="913"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法律（法学）</w:t>
            </w:r>
          </w:p>
        </w:tc>
        <w:tc>
          <w:tcPr>
            <w:tcW w:w="136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民商法学</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环境与资源保护法学</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宪法学和行政法学</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刑法学</w:t>
            </w:r>
          </w:p>
        </w:tc>
        <w:tc>
          <w:tcPr>
            <w:tcW w:w="106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7</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4</w:t>
            </w:r>
            <w:r>
              <w:rPr>
                <w:rFonts w:hint="eastAsia" w:ascii="仿宋" w:hAnsi="仿宋" w:eastAsia="仿宋" w:cs="宋体"/>
                <w:color w:val="333333"/>
                <w:kern w:val="0"/>
                <w:sz w:val="24"/>
                <w:szCs w:val="24"/>
              </w:rPr>
              <w:t>5</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6</w:t>
            </w:r>
            <w:r>
              <w:rPr>
                <w:rFonts w:hint="eastAsia" w:ascii="仿宋" w:hAnsi="仿宋" w:eastAsia="仿宋" w:cs="宋体"/>
                <w:color w:val="333333"/>
                <w:kern w:val="0"/>
                <w:sz w:val="24"/>
                <w:szCs w:val="24"/>
              </w:rPr>
              <w:t>8</w:t>
            </w:r>
          </w:p>
        </w:tc>
        <w:tc>
          <w:tcPr>
            <w:tcW w:w="919"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3</w:t>
            </w:r>
            <w:r>
              <w:rPr>
                <w:rFonts w:hint="eastAsia" w:ascii="仿宋" w:hAnsi="仿宋" w:eastAsia="仿宋" w:cs="宋体"/>
                <w:color w:val="333333"/>
                <w:kern w:val="0"/>
                <w:sz w:val="24"/>
                <w:szCs w:val="24"/>
              </w:rPr>
              <w:t>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w:t>
            </w:r>
          </w:p>
        </w:tc>
        <w:tc>
          <w:tcPr>
            <w:tcW w:w="913"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法律（法学）</w:t>
            </w:r>
          </w:p>
        </w:tc>
        <w:tc>
          <w:tcPr>
            <w:tcW w:w="136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民商法学</w:t>
            </w:r>
          </w:p>
          <w:p>
            <w:pPr>
              <w:widowControl/>
              <w:wordWrap w:val="0"/>
              <w:spacing w:line="360"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环境与资源保护法学</w:t>
            </w:r>
          </w:p>
          <w:p>
            <w:pPr>
              <w:widowControl/>
              <w:wordWrap w:val="0"/>
              <w:spacing w:line="360"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宪法学和行政法学</w:t>
            </w:r>
          </w:p>
          <w:p>
            <w:pPr>
              <w:widowControl/>
              <w:wordWrap w:val="0"/>
              <w:spacing w:line="360"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刑法学</w:t>
            </w:r>
          </w:p>
        </w:tc>
        <w:tc>
          <w:tcPr>
            <w:tcW w:w="1068"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4</w:t>
            </w:r>
            <w:r>
              <w:rPr>
                <w:rFonts w:hint="eastAsia" w:ascii="仿宋" w:hAnsi="仿宋" w:eastAsia="仿宋" w:cs="宋体"/>
                <w:color w:val="333333"/>
                <w:kern w:val="0"/>
                <w:sz w:val="24"/>
                <w:szCs w:val="24"/>
              </w:rPr>
              <w:t>5</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6</w:t>
            </w:r>
            <w:r>
              <w:rPr>
                <w:rFonts w:hint="eastAsia" w:ascii="仿宋" w:hAnsi="仿宋" w:eastAsia="仿宋" w:cs="宋体"/>
                <w:color w:val="333333"/>
                <w:kern w:val="0"/>
                <w:sz w:val="24"/>
                <w:szCs w:val="24"/>
              </w:rPr>
              <w:t>8</w:t>
            </w:r>
          </w:p>
        </w:tc>
        <w:tc>
          <w:tcPr>
            <w:tcW w:w="919"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3</w:t>
            </w:r>
            <w:r>
              <w:rPr>
                <w:rFonts w:hint="eastAsia" w:ascii="仿宋" w:hAnsi="仿宋" w:eastAsia="仿宋" w:cs="宋体"/>
                <w:color w:val="333333"/>
                <w:kern w:val="0"/>
                <w:sz w:val="24"/>
                <w:szCs w:val="24"/>
              </w:rPr>
              <w:t>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全日制</w:t>
            </w:r>
          </w:p>
        </w:tc>
        <w:tc>
          <w:tcPr>
            <w:tcW w:w="913"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金融硕士</w:t>
            </w:r>
            <w:r>
              <w:rPr>
                <w:rFonts w:hint="eastAsia" w:ascii="仿宋" w:hAnsi="仿宋" w:eastAsia="仿宋" w:cs="宋体"/>
                <w:color w:val="333333"/>
                <w:kern w:val="0"/>
                <w:sz w:val="24"/>
                <w:szCs w:val="24"/>
              </w:rPr>
              <w:t>（MF）</w:t>
            </w:r>
          </w:p>
        </w:tc>
        <w:tc>
          <w:tcPr>
            <w:tcW w:w="136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绿色金融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公司金融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金融科技</w:t>
            </w:r>
          </w:p>
        </w:tc>
        <w:tc>
          <w:tcPr>
            <w:tcW w:w="1068"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48</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72</w:t>
            </w:r>
          </w:p>
        </w:tc>
        <w:tc>
          <w:tcPr>
            <w:tcW w:w="919"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w:t>
            </w:r>
          </w:p>
        </w:tc>
        <w:tc>
          <w:tcPr>
            <w:tcW w:w="913"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金融硕士</w:t>
            </w:r>
            <w:r>
              <w:rPr>
                <w:rFonts w:hint="eastAsia" w:ascii="仿宋" w:hAnsi="仿宋" w:eastAsia="仿宋" w:cs="宋体"/>
                <w:color w:val="333333"/>
                <w:kern w:val="0"/>
                <w:sz w:val="24"/>
                <w:szCs w:val="24"/>
              </w:rPr>
              <w:t>（MF）</w:t>
            </w:r>
          </w:p>
        </w:tc>
        <w:tc>
          <w:tcPr>
            <w:tcW w:w="136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绿色金融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公司金融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金融科技</w:t>
            </w:r>
          </w:p>
        </w:tc>
        <w:tc>
          <w:tcPr>
            <w:tcW w:w="1068"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8</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48</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72</w:t>
            </w:r>
          </w:p>
        </w:tc>
        <w:tc>
          <w:tcPr>
            <w:tcW w:w="919"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346</w:t>
            </w:r>
          </w:p>
        </w:tc>
      </w:tr>
    </w:tbl>
    <w:p>
      <w:pPr>
        <w:widowControl/>
        <w:shd w:val="clear" w:color="auto" w:fill="FFFFFF"/>
        <w:spacing w:line="360" w:lineRule="atLeast"/>
        <w:ind w:firstLine="560" w:firstLineChars="200"/>
        <w:rPr>
          <w:rFonts w:hint="eastAsia" w:ascii="仿宋" w:hAnsi="仿宋" w:eastAsia="仿宋" w:cs="宋体"/>
          <w:b/>
          <w:bCs/>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28"/>
          <w:szCs w:val="28"/>
          <w:highlight w:val="none"/>
          <w:shd w:val="clear" w:color="auto" w:fill="FFFFFF"/>
          <w14:textFill>
            <w14:solidFill>
              <w14:schemeClr w14:val="tx1"/>
            </w14:solidFill>
          </w14:textFill>
        </w:rPr>
        <w:t>最终录取人数将根据</w:t>
      </w:r>
      <w:r>
        <w:rPr>
          <w:rFonts w:hint="eastAsia" w:ascii="仿宋" w:hAnsi="仿宋" w:eastAsia="仿宋" w:cs="宋体"/>
          <w:color w:val="000000" w:themeColor="text1"/>
          <w:kern w:val="0"/>
          <w:sz w:val="28"/>
          <w:szCs w:val="28"/>
          <w:highlight w:val="none"/>
          <w:shd w:val="clear" w:color="auto" w:fill="FFFFFF"/>
          <w:lang w:val="en-US" w:eastAsia="zh-CN"/>
          <w14:textFill>
            <w14:solidFill>
              <w14:schemeClr w14:val="tx1"/>
            </w14:solidFill>
          </w14:textFill>
        </w:rPr>
        <w:t>生源情况和</w:t>
      </w:r>
      <w:r>
        <w:rPr>
          <w:rFonts w:hint="eastAsia" w:ascii="仿宋" w:hAnsi="仿宋" w:eastAsia="仿宋" w:cs="宋体"/>
          <w:color w:val="000000" w:themeColor="text1"/>
          <w:kern w:val="0"/>
          <w:sz w:val="28"/>
          <w:szCs w:val="28"/>
          <w:highlight w:val="none"/>
          <w:shd w:val="clear" w:color="auto" w:fill="FFFFFF"/>
          <w14:textFill>
            <w14:solidFill>
              <w14:schemeClr w14:val="tx1"/>
            </w14:solidFill>
          </w14:textFill>
        </w:rPr>
        <w:t>复试情况等进行适当调整。</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二、调剂的条件和要求</w:t>
      </w:r>
    </w:p>
    <w:p>
      <w:pPr>
        <w:widowControl/>
        <w:shd w:val="clear" w:color="auto" w:fill="FFFFFF"/>
        <w:spacing w:line="360" w:lineRule="atLeas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1.符合国家2023年A类地区研究生复试基本要求和国家调剂政策；</w:t>
      </w:r>
    </w:p>
    <w:p>
      <w:pPr>
        <w:widowControl/>
        <w:shd w:val="clear" w:color="auto" w:fill="FFFFFF"/>
        <w:spacing w:line="360" w:lineRule="atLeast"/>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2.初试成绩符合我院进入复试的分数要求</w:t>
      </w:r>
      <w:r>
        <w:rPr>
          <w:rFonts w:hint="eastAsia" w:ascii="仿宋" w:hAnsi="仿宋" w:eastAsia="仿宋" w:cs="宋体"/>
          <w:color w:val="333333"/>
          <w:kern w:val="0"/>
          <w:sz w:val="28"/>
          <w:szCs w:val="28"/>
        </w:rPr>
        <w:t>；</w:t>
      </w:r>
    </w:p>
    <w:p>
      <w:pPr>
        <w:widowControl/>
        <w:shd w:val="clear" w:color="auto" w:fill="FFFFFF"/>
        <w:spacing w:line="360" w:lineRule="atLeast"/>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3.调入专业与第一志愿报考专业相同或相近，且在同一学科门类范围内</w:t>
      </w:r>
      <w:r>
        <w:rPr>
          <w:rFonts w:hint="eastAsia" w:ascii="仿宋" w:hAnsi="仿宋" w:eastAsia="仿宋" w:cs="宋体"/>
          <w:color w:val="333333"/>
          <w:kern w:val="0"/>
          <w:sz w:val="28"/>
          <w:szCs w:val="28"/>
        </w:rPr>
        <w:t>；</w:t>
      </w:r>
    </w:p>
    <w:p>
      <w:pPr>
        <w:widowControl/>
        <w:shd w:val="clear" w:color="auto" w:fill="FFFFFF"/>
        <w:spacing w:line="360" w:lineRule="atLeas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4.初试科目与调入专业初试科目相同或相近，其中初试全国统一命题科目应与调入专业全国统一命题科目相同（考生初试统考科目涵盖调入专业所有统考科目的，视为相同）。</w:t>
      </w:r>
    </w:p>
    <w:p>
      <w:pPr>
        <w:widowControl/>
        <w:shd w:val="clear" w:color="auto" w:fill="FFFFFF"/>
        <w:spacing w:line="360" w:lineRule="atLeast"/>
        <w:rPr>
          <w:rFonts w:ascii="仿宋" w:hAnsi="仿宋" w:eastAsia="仿宋" w:cs="宋体"/>
          <w:color w:val="000000" w:themeColor="text1"/>
          <w:kern w:val="0"/>
          <w:sz w:val="28"/>
          <w:szCs w:val="28"/>
          <w:shd w:val="clear" w:color="auto" w:fill="FFFFFF"/>
          <w14:textFill>
            <w14:solidFill>
              <w14:schemeClr w14:val="tx1"/>
            </w14:solidFill>
          </w14:textFill>
        </w:rPr>
      </w:pPr>
      <w:r>
        <w:rPr>
          <w:rFonts w:hint="eastAsia" w:ascii="仿宋" w:hAnsi="仿宋" w:eastAsia="仿宋" w:cs="宋体"/>
          <w:color w:val="000000" w:themeColor="text1"/>
          <w:kern w:val="0"/>
          <w:sz w:val="28"/>
          <w:szCs w:val="28"/>
          <w:shd w:val="clear" w:color="auto" w:fill="FFFFFF"/>
          <w14:textFill>
            <w14:solidFill>
              <w14:schemeClr w14:val="tx1"/>
            </w14:solidFill>
          </w14:textFill>
        </w:rPr>
        <w:t>5.</w:t>
      </w:r>
      <w:r>
        <w:rPr>
          <w:rFonts w:ascii="仿宋" w:hAnsi="仿宋" w:eastAsia="仿宋" w:cs="宋体"/>
          <w:color w:val="000000" w:themeColor="text1"/>
          <w:kern w:val="0"/>
          <w:sz w:val="28"/>
          <w:szCs w:val="28"/>
          <w:shd w:val="clear" w:color="auto" w:fill="FFFFFF"/>
          <w14:textFill>
            <w14:solidFill>
              <w14:schemeClr w14:val="tx1"/>
            </w14:solidFill>
          </w14:textFill>
        </w:rPr>
        <w:t>会计</w:t>
      </w:r>
      <w:r>
        <w:rPr>
          <w:rFonts w:hint="eastAsia" w:ascii="仿宋" w:hAnsi="仿宋" w:eastAsia="仿宋" w:cs="宋体"/>
          <w:color w:val="000000" w:themeColor="text1"/>
          <w:kern w:val="0"/>
          <w:sz w:val="28"/>
          <w:szCs w:val="28"/>
          <w:shd w:val="clear" w:color="auto" w:fill="FFFFFF"/>
          <w14:textFill>
            <w14:solidFill>
              <w14:schemeClr w14:val="tx1"/>
            </w14:solidFill>
          </w14:textFill>
        </w:rPr>
        <w:t>（125300）仅接收会计学、审计学、财务管理的本科（含双学位）考生，或取得会计职业证书的考生。</w:t>
      </w:r>
    </w:p>
    <w:p>
      <w:pPr>
        <w:widowControl/>
        <w:shd w:val="clear" w:color="auto" w:fill="FFFFFF"/>
        <w:spacing w:line="360" w:lineRule="atLeast"/>
        <w:rPr>
          <w:rFonts w:ascii="仿宋" w:hAnsi="仿宋" w:eastAsia="仿宋" w:cs="宋体"/>
          <w:color w:val="000000" w:themeColor="text1"/>
          <w:kern w:val="0"/>
          <w:sz w:val="28"/>
          <w:szCs w:val="28"/>
          <w:highlight w:val="none"/>
          <w:shd w:val="clear" w:color="auto" w:fill="FFFFFF"/>
          <w14:textFill>
            <w14:solidFill>
              <w14:schemeClr w14:val="tx1"/>
            </w14:solidFill>
          </w14:textFill>
        </w:rPr>
      </w:pPr>
      <w:r>
        <w:rPr>
          <w:rFonts w:hint="eastAsia" w:ascii="仿宋" w:hAnsi="仿宋" w:eastAsia="仿宋" w:cs="宋体"/>
          <w:color w:val="000000" w:themeColor="text1"/>
          <w:kern w:val="0"/>
          <w:sz w:val="28"/>
          <w:szCs w:val="28"/>
          <w:highlight w:val="none"/>
          <w:shd w:val="clear" w:color="auto" w:fill="FFFFFF"/>
          <w14:textFill>
            <w14:solidFill>
              <w14:schemeClr w14:val="tx1"/>
            </w14:solidFill>
          </w14:textFill>
        </w:rPr>
        <w:t>6.全日制法律硕士（法学）</w:t>
      </w:r>
      <w:r>
        <w:rPr>
          <w:rFonts w:hint="eastAsia" w:ascii="仿宋" w:hAnsi="仿宋" w:eastAsia="仿宋" w:cs="宋体"/>
          <w:color w:val="000000" w:themeColor="text1"/>
          <w:kern w:val="0"/>
          <w:sz w:val="28"/>
          <w:szCs w:val="28"/>
          <w:highlight w:val="none"/>
          <w:shd w:val="clear" w:color="auto" w:fill="FFFFFF"/>
          <w:lang w:val="en-US" w:eastAsia="zh-CN"/>
          <w14:textFill>
            <w14:solidFill>
              <w14:schemeClr w14:val="tx1"/>
            </w14:solidFill>
          </w14:textFill>
        </w:rPr>
        <w:t>接收</w:t>
      </w:r>
      <w:r>
        <w:rPr>
          <w:rFonts w:hint="eastAsia" w:ascii="仿宋" w:hAnsi="仿宋" w:eastAsia="仿宋" w:cs="宋体"/>
          <w:color w:val="000000" w:themeColor="text1"/>
          <w:kern w:val="0"/>
          <w:sz w:val="28"/>
          <w:szCs w:val="28"/>
          <w:highlight w:val="none"/>
          <w:shd w:val="clear" w:color="auto" w:fill="FFFFFF"/>
          <w14:textFill>
            <w14:solidFill>
              <w14:schemeClr w14:val="tx1"/>
            </w14:solidFill>
          </w14:textFill>
        </w:rPr>
        <w:t>本科为法学专业（0301），第一志愿为全日制法律硕士（法学）专业</w:t>
      </w:r>
      <w:r>
        <w:rPr>
          <w:rFonts w:hint="eastAsia" w:ascii="仿宋" w:hAnsi="仿宋" w:eastAsia="仿宋" w:cs="宋体"/>
          <w:color w:val="000000" w:themeColor="text1"/>
          <w:kern w:val="0"/>
          <w:sz w:val="28"/>
          <w:szCs w:val="28"/>
          <w:highlight w:val="none"/>
          <w:shd w:val="clear" w:color="auto" w:fill="FFFFFF"/>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shd w:val="clear" w:color="auto" w:fill="FFFFFF"/>
          <w14:textFill>
            <w14:solidFill>
              <w14:schemeClr w14:val="tx1"/>
            </w14:solidFill>
          </w14:textFill>
        </w:rPr>
        <w:t>非全日制法律硕士（法学）</w:t>
      </w:r>
      <w:r>
        <w:rPr>
          <w:rFonts w:hint="eastAsia" w:ascii="仿宋" w:hAnsi="仿宋" w:eastAsia="仿宋" w:cs="宋体"/>
          <w:color w:val="000000" w:themeColor="text1"/>
          <w:kern w:val="0"/>
          <w:sz w:val="28"/>
          <w:szCs w:val="28"/>
          <w:highlight w:val="none"/>
          <w:shd w:val="clear" w:color="auto" w:fill="FFFFFF"/>
          <w:lang w:val="en-US" w:eastAsia="zh-CN"/>
          <w14:textFill>
            <w14:solidFill>
              <w14:schemeClr w14:val="tx1"/>
            </w14:solidFill>
          </w14:textFill>
        </w:rPr>
        <w:t>接收</w:t>
      </w:r>
      <w:r>
        <w:rPr>
          <w:rFonts w:hint="eastAsia" w:ascii="仿宋" w:hAnsi="仿宋" w:eastAsia="仿宋" w:cs="宋体"/>
          <w:color w:val="000000" w:themeColor="text1"/>
          <w:kern w:val="0"/>
          <w:sz w:val="28"/>
          <w:szCs w:val="28"/>
          <w:highlight w:val="none"/>
          <w:shd w:val="clear" w:color="auto" w:fill="FFFFFF"/>
          <w14:textFill>
            <w14:solidFill>
              <w14:schemeClr w14:val="tx1"/>
            </w14:solidFill>
          </w14:textFill>
        </w:rPr>
        <w:t>本科为法学专业（0301），第一志愿为全日制法律硕士（法学）专业或非全日制法律硕士（法学）专业。同等情况下，通过统一司法考试或法律职业资格考试的考生优先。</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三、调剂申请程序</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1.报名方式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调剂报名必须通过“全国硕士研究生招生调剂服务系统”（网址http://yz.chsi.com.cn/yztj/）进行。</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2.报名时间</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正式调剂开始时间为：4月6日0：00。</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（系统开放时间不低于12个小时）</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四、复试</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符合我院调剂要求的考生请在规定时间内登录研招网调剂系统填报调剂志愿，经学院初审确定名单后，将通过调剂系统向考生发送复试通知，考生在系统中确认同意复试后按要求参加我院复试方可。复试名单在学院网上公示。</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具体复试时间和要求另行通知。</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1、复试时间：</w:t>
      </w:r>
      <w:r>
        <w:rPr>
          <w:rFonts w:ascii="仿宋" w:hAnsi="仿宋" w:eastAsia="仿宋" w:cs="宋体"/>
          <w:color w:val="333333"/>
          <w:kern w:val="0"/>
          <w:sz w:val="32"/>
          <w:szCs w:val="32"/>
        </w:rPr>
        <w:t xml:space="preserve"> </w:t>
      </w:r>
    </w:p>
    <w:p>
      <w:pPr>
        <w:pStyle w:val="14"/>
        <w:spacing w:line="570" w:lineRule="exact"/>
        <w:ind w:firstLine="0" w:firstLineChars="0"/>
        <w:rPr>
          <w:b/>
          <w:color w:val="000000"/>
          <w:sz w:val="24"/>
          <w:szCs w:val="24"/>
        </w:rPr>
      </w:pPr>
      <w:r>
        <w:rPr>
          <w:rFonts w:hint="eastAsia"/>
          <w:b/>
          <w:color w:val="000000"/>
          <w:sz w:val="24"/>
          <w:szCs w:val="24"/>
        </w:rPr>
        <w:t>（1）专业</w:t>
      </w:r>
      <w:r>
        <w:rPr>
          <w:b/>
          <w:color w:val="000000"/>
          <w:sz w:val="24"/>
          <w:szCs w:val="24"/>
        </w:rPr>
        <w:t>学位类硕士研究生复试报到时间及方式</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656"/>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宋体" w:hAnsi="宋体" w:cs="宋体"/>
                <w:kern w:val="0"/>
                <w:szCs w:val="21"/>
              </w:rPr>
            </w:pPr>
            <w:r>
              <w:rPr>
                <w:rFonts w:ascii="宋体" w:hAnsi="宋体" w:cs="宋体"/>
                <w:kern w:val="0"/>
                <w:szCs w:val="21"/>
              </w:rPr>
              <w:t>专业</w:t>
            </w:r>
          </w:p>
        </w:tc>
        <w:tc>
          <w:tcPr>
            <w:tcW w:w="3656" w:type="dxa"/>
          </w:tcPr>
          <w:p>
            <w:pPr>
              <w:rPr>
                <w:rFonts w:ascii="宋体" w:hAnsi="宋体" w:cs="宋体"/>
                <w:kern w:val="0"/>
                <w:szCs w:val="21"/>
              </w:rPr>
            </w:pPr>
            <w:r>
              <w:rPr>
                <w:rFonts w:ascii="宋体" w:hAnsi="宋体" w:cs="宋体"/>
                <w:kern w:val="0"/>
                <w:szCs w:val="21"/>
              </w:rPr>
              <w:t>报到时间</w:t>
            </w:r>
          </w:p>
        </w:tc>
        <w:tc>
          <w:tcPr>
            <w:tcW w:w="1134" w:type="dxa"/>
          </w:tcPr>
          <w:p>
            <w:pPr>
              <w:rPr>
                <w:rFonts w:ascii="宋体" w:hAnsi="宋体" w:cs="宋体"/>
                <w:kern w:val="0"/>
                <w:szCs w:val="21"/>
              </w:rPr>
            </w:pPr>
            <w:r>
              <w:rPr>
                <w:rFonts w:ascii="宋体" w:hAnsi="宋体" w:cs="宋体"/>
                <w:kern w:val="0"/>
                <w:szCs w:val="21"/>
              </w:rPr>
              <w:t>报到方式</w:t>
            </w:r>
          </w:p>
        </w:tc>
        <w:tc>
          <w:tcPr>
            <w:tcW w:w="2268" w:type="dxa"/>
          </w:tcPr>
          <w:p>
            <w:pPr>
              <w:rPr>
                <w:rFonts w:ascii="宋体" w:hAnsi="宋体" w:cs="宋体"/>
                <w:kern w:val="0"/>
                <w:szCs w:val="21"/>
              </w:rPr>
            </w:pPr>
            <w:r>
              <w:rPr>
                <w:rFonts w:ascii="宋体" w:hAnsi="宋体" w:cs="宋体"/>
                <w:kern w:val="0"/>
                <w:szCs w:val="21"/>
              </w:rPr>
              <w:t>复试秘书及钉钉号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工商管理（MBA）</w:t>
            </w:r>
          </w:p>
        </w:tc>
        <w:tc>
          <w:tcPr>
            <w:tcW w:w="3656" w:type="dxa"/>
          </w:tcPr>
          <w:p>
            <w:pPr>
              <w:rPr>
                <w:rFonts w:ascii="宋体" w:hAnsi="宋体" w:cs="宋体"/>
                <w:kern w:val="0"/>
                <w:szCs w:val="21"/>
              </w:rPr>
            </w:pPr>
            <w:r>
              <w:rPr>
                <w:rFonts w:hint="eastAsia" w:ascii="宋体" w:hAnsi="宋体" w:cs="宋体"/>
                <w:kern w:val="0"/>
                <w:szCs w:val="21"/>
              </w:rPr>
              <w:t>2023年4月6日14:00：00-15：00</w:t>
            </w:r>
          </w:p>
        </w:tc>
        <w:tc>
          <w:tcPr>
            <w:tcW w:w="1134" w:type="dxa"/>
          </w:tcPr>
          <w:p>
            <w:pPr>
              <w:rPr>
                <w:rFonts w:ascii="宋体" w:hAnsi="宋体" w:cs="宋体"/>
                <w:kern w:val="0"/>
                <w:szCs w:val="21"/>
              </w:rPr>
            </w:pPr>
            <w:r>
              <w:rPr>
                <w:rFonts w:ascii="宋体" w:hAnsi="宋体" w:cs="宋体"/>
                <w:kern w:val="0"/>
                <w:szCs w:val="21"/>
              </w:rPr>
              <w:t>钉钉系统</w:t>
            </w:r>
          </w:p>
        </w:tc>
        <w:tc>
          <w:tcPr>
            <w:tcW w:w="2268" w:type="dxa"/>
          </w:tcPr>
          <w:p>
            <w:pPr>
              <w:rPr>
                <w:rFonts w:ascii="宋体" w:hAnsi="宋体" w:cs="宋体"/>
                <w:kern w:val="0"/>
                <w:szCs w:val="21"/>
              </w:rPr>
            </w:pPr>
            <w:r>
              <w:rPr>
                <w:rFonts w:hint="eastAsia" w:ascii="宋体" w:hAnsi="宋体" w:cs="宋体"/>
                <w:kern w:val="0"/>
                <w:szCs w:val="21"/>
              </w:rPr>
              <w:t>张老师 cugbedu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公共管理（MPA）</w:t>
            </w:r>
          </w:p>
        </w:tc>
        <w:tc>
          <w:tcPr>
            <w:tcW w:w="3656" w:type="dxa"/>
          </w:tcPr>
          <w:p>
            <w:pPr>
              <w:rPr>
                <w:rFonts w:ascii="宋体" w:hAnsi="宋体" w:cs="宋体"/>
                <w:kern w:val="0"/>
                <w:szCs w:val="21"/>
              </w:rPr>
            </w:pPr>
            <w:r>
              <w:rPr>
                <w:rFonts w:hint="eastAsia" w:ascii="宋体" w:hAnsi="宋体" w:cs="宋体"/>
                <w:kern w:val="0"/>
                <w:szCs w:val="21"/>
              </w:rPr>
              <w:t>2023年4月6日14:00：00-15：00</w:t>
            </w:r>
          </w:p>
        </w:tc>
        <w:tc>
          <w:tcPr>
            <w:tcW w:w="1134" w:type="dxa"/>
          </w:tcPr>
          <w:p>
            <w:pPr>
              <w:rPr>
                <w:rFonts w:ascii="宋体" w:hAnsi="宋体" w:cs="宋体"/>
                <w:kern w:val="0"/>
                <w:szCs w:val="21"/>
              </w:rPr>
            </w:pPr>
            <w:r>
              <w:rPr>
                <w:rFonts w:ascii="宋体" w:hAnsi="宋体" w:cs="宋体"/>
                <w:kern w:val="0"/>
                <w:szCs w:val="21"/>
              </w:rPr>
              <w:t>钉钉系统</w:t>
            </w:r>
          </w:p>
        </w:tc>
        <w:tc>
          <w:tcPr>
            <w:tcW w:w="2268" w:type="dxa"/>
          </w:tcPr>
          <w:p>
            <w:pPr>
              <w:rPr>
                <w:rFonts w:ascii="宋体" w:hAnsi="宋体" w:cs="宋体"/>
                <w:kern w:val="0"/>
                <w:szCs w:val="21"/>
              </w:rPr>
            </w:pPr>
            <w:r>
              <w:rPr>
                <w:rFonts w:hint="eastAsia" w:ascii="宋体" w:hAnsi="宋体" w:cs="宋体"/>
                <w:kern w:val="0"/>
                <w:szCs w:val="21"/>
              </w:rPr>
              <w:t>张老师，zrd14126528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会计（MPAcc）</w:t>
            </w:r>
          </w:p>
        </w:tc>
        <w:tc>
          <w:tcPr>
            <w:tcW w:w="3656" w:type="dxa"/>
          </w:tcPr>
          <w:p>
            <w:pPr>
              <w:rPr>
                <w:rFonts w:ascii="宋体" w:hAnsi="宋体" w:cs="宋体"/>
                <w:kern w:val="0"/>
                <w:szCs w:val="21"/>
              </w:rPr>
            </w:pPr>
            <w:r>
              <w:rPr>
                <w:rFonts w:hint="eastAsia" w:ascii="宋体" w:hAnsi="宋体" w:cs="宋体"/>
                <w:kern w:val="0"/>
                <w:szCs w:val="21"/>
              </w:rPr>
              <w:t>2023年4月6日14:00：00-15：00</w:t>
            </w:r>
          </w:p>
        </w:tc>
        <w:tc>
          <w:tcPr>
            <w:tcW w:w="1134" w:type="dxa"/>
          </w:tcPr>
          <w:p>
            <w:pPr>
              <w:rPr>
                <w:rFonts w:ascii="宋体" w:hAnsi="宋体" w:cs="宋体"/>
                <w:kern w:val="0"/>
                <w:szCs w:val="21"/>
              </w:rPr>
            </w:pPr>
            <w:r>
              <w:rPr>
                <w:rFonts w:ascii="宋体" w:hAnsi="宋体" w:cs="宋体"/>
                <w:kern w:val="0"/>
                <w:szCs w:val="21"/>
              </w:rPr>
              <w:t>钉钉系统</w:t>
            </w:r>
          </w:p>
        </w:tc>
        <w:tc>
          <w:tcPr>
            <w:tcW w:w="2268" w:type="dxa"/>
          </w:tcPr>
          <w:p>
            <w:pPr>
              <w:rPr>
                <w:rFonts w:ascii="宋体" w:hAnsi="宋体" w:cs="宋体"/>
                <w:kern w:val="0"/>
                <w:szCs w:val="21"/>
              </w:rPr>
            </w:pPr>
            <w:r>
              <w:rPr>
                <w:rFonts w:hint="eastAsia" w:ascii="宋体" w:hAnsi="宋体" w:cs="宋体"/>
                <w:kern w:val="0"/>
                <w:szCs w:val="21"/>
              </w:rPr>
              <w:t>杨老师 13241564998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法律（法学）</w:t>
            </w:r>
          </w:p>
        </w:tc>
        <w:tc>
          <w:tcPr>
            <w:tcW w:w="3656" w:type="dxa"/>
            <w:vAlign w:val="center"/>
          </w:tcPr>
          <w:p>
            <w:pPr>
              <w:rPr>
                <w:rFonts w:ascii="宋体" w:hAnsi="宋体" w:cs="宋体"/>
                <w:kern w:val="0"/>
                <w:szCs w:val="21"/>
              </w:rPr>
            </w:pPr>
            <w:r>
              <w:rPr>
                <w:rFonts w:hint="eastAsia" w:ascii="宋体" w:hAnsi="宋体" w:cs="宋体"/>
                <w:kern w:val="0"/>
                <w:szCs w:val="21"/>
              </w:rPr>
              <w:t>2023年4月6日14:00：00-15：00</w:t>
            </w:r>
          </w:p>
        </w:tc>
        <w:tc>
          <w:tcPr>
            <w:tcW w:w="1134" w:type="dxa"/>
            <w:vAlign w:val="center"/>
          </w:tcPr>
          <w:p>
            <w:pPr>
              <w:rPr>
                <w:rFonts w:ascii="宋体" w:hAnsi="宋体" w:cs="宋体"/>
                <w:kern w:val="0"/>
                <w:szCs w:val="21"/>
              </w:rPr>
            </w:pPr>
            <w:r>
              <w:rPr>
                <w:rFonts w:ascii="宋体" w:hAnsi="宋体" w:cs="宋体"/>
                <w:kern w:val="0"/>
                <w:szCs w:val="21"/>
              </w:rPr>
              <w:t>钉钉系统</w:t>
            </w:r>
          </w:p>
        </w:tc>
        <w:tc>
          <w:tcPr>
            <w:tcW w:w="2268" w:type="dxa"/>
            <w:vAlign w:val="center"/>
          </w:tcPr>
          <w:p>
            <w:pPr>
              <w:rPr>
                <w:rFonts w:ascii="宋体" w:hAnsi="宋体" w:cs="宋体"/>
                <w:kern w:val="0"/>
                <w:szCs w:val="21"/>
              </w:rPr>
            </w:pPr>
            <w:r>
              <w:rPr>
                <w:rFonts w:hint="eastAsia" w:ascii="宋体" w:hAnsi="宋体" w:cs="宋体"/>
                <w:kern w:val="0"/>
                <w:szCs w:val="21"/>
              </w:rPr>
              <w:t>李老师 lexy2021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金融硕士</w:t>
            </w:r>
            <w:r>
              <w:rPr>
                <w:rFonts w:hint="eastAsia" w:ascii="宋体" w:hAnsi="宋体" w:cs="宋体"/>
                <w:kern w:val="0"/>
                <w:szCs w:val="21"/>
              </w:rPr>
              <w:t>（MF）</w:t>
            </w:r>
          </w:p>
        </w:tc>
        <w:tc>
          <w:tcPr>
            <w:tcW w:w="3656" w:type="dxa"/>
            <w:vAlign w:val="center"/>
          </w:tcPr>
          <w:p>
            <w:pPr>
              <w:rPr>
                <w:rFonts w:ascii="宋体" w:hAnsi="宋体" w:cs="宋体"/>
                <w:kern w:val="0"/>
                <w:szCs w:val="21"/>
              </w:rPr>
            </w:pPr>
            <w:r>
              <w:rPr>
                <w:rFonts w:hint="eastAsia" w:ascii="宋体" w:hAnsi="宋体" w:cs="宋体"/>
                <w:kern w:val="0"/>
                <w:szCs w:val="21"/>
              </w:rPr>
              <w:t>2023年4月6日14:00：00-15：00</w:t>
            </w:r>
          </w:p>
        </w:tc>
        <w:tc>
          <w:tcPr>
            <w:tcW w:w="1134" w:type="dxa"/>
            <w:vAlign w:val="center"/>
          </w:tcPr>
          <w:p>
            <w:pPr>
              <w:rPr>
                <w:rFonts w:ascii="宋体" w:hAnsi="宋体" w:cs="宋体"/>
                <w:kern w:val="0"/>
                <w:szCs w:val="21"/>
              </w:rPr>
            </w:pPr>
            <w:r>
              <w:rPr>
                <w:rFonts w:ascii="宋体" w:hAnsi="宋体" w:cs="宋体"/>
                <w:kern w:val="0"/>
                <w:szCs w:val="21"/>
              </w:rPr>
              <w:t>钉钉系统</w:t>
            </w:r>
          </w:p>
        </w:tc>
        <w:tc>
          <w:tcPr>
            <w:tcW w:w="2268" w:type="dxa"/>
            <w:vAlign w:val="center"/>
          </w:tcPr>
          <w:p>
            <w:pPr>
              <w:rPr>
                <w:rFonts w:ascii="宋体" w:hAnsi="宋体" w:cs="宋体"/>
                <w:kern w:val="0"/>
                <w:szCs w:val="21"/>
              </w:rPr>
            </w:pPr>
            <w:r>
              <w:rPr>
                <w:rFonts w:hint="eastAsia" w:ascii="宋体" w:hAnsi="宋体" w:cs="宋体"/>
                <w:kern w:val="0"/>
                <w:szCs w:val="21"/>
              </w:rPr>
              <w:t>何老师</w:t>
            </w:r>
            <w:r>
              <w:rPr>
                <w:rFonts w:ascii="宋体" w:hAnsi="宋体" w:cs="宋体"/>
                <w:kern w:val="0"/>
                <w:szCs w:val="21"/>
              </w:rPr>
              <w:t>18813191315</w:t>
            </w:r>
          </w:p>
        </w:tc>
      </w:tr>
    </w:tbl>
    <w:p>
      <w:pPr>
        <w:pStyle w:val="14"/>
        <w:spacing w:line="570" w:lineRule="exact"/>
        <w:ind w:firstLine="0" w:firstLineChars="0"/>
        <w:rPr>
          <w:rFonts w:hint="eastAsia"/>
          <w:b/>
          <w:color w:val="000000"/>
          <w:sz w:val="24"/>
          <w:szCs w:val="24"/>
        </w:rPr>
      </w:pPr>
      <w:bookmarkStart w:id="0" w:name="_Hlk40109570"/>
      <w:r>
        <w:rPr>
          <w:rFonts w:hint="eastAsia"/>
          <w:b/>
          <w:color w:val="000000"/>
          <w:sz w:val="24"/>
          <w:szCs w:val="24"/>
        </w:rPr>
        <w:t>（2）综合素质面试和外语测试</w:t>
      </w:r>
    </w:p>
    <w:tbl>
      <w:tblPr>
        <w:tblStyle w:val="6"/>
        <w:tblW w:w="9185" w:type="dxa"/>
        <w:tblInd w:w="-5" w:type="dxa"/>
        <w:tblLayout w:type="fixed"/>
        <w:tblCellMar>
          <w:top w:w="0" w:type="dxa"/>
          <w:left w:w="108" w:type="dxa"/>
          <w:bottom w:w="0" w:type="dxa"/>
          <w:right w:w="108" w:type="dxa"/>
        </w:tblCellMar>
      </w:tblPr>
      <w:tblGrid>
        <w:gridCol w:w="2098"/>
        <w:gridCol w:w="3685"/>
        <w:gridCol w:w="1163"/>
        <w:gridCol w:w="2239"/>
      </w:tblGrid>
      <w:tr>
        <w:tblPrEx>
          <w:tblCellMar>
            <w:top w:w="0" w:type="dxa"/>
            <w:left w:w="108" w:type="dxa"/>
            <w:bottom w:w="0" w:type="dxa"/>
            <w:right w:w="108" w:type="dxa"/>
          </w:tblCellMar>
        </w:tblPrEx>
        <w:trPr>
          <w:trHeight w:val="510" w:hRule="atLeast"/>
        </w:trPr>
        <w:tc>
          <w:tcPr>
            <w:tcW w:w="20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专业</w:t>
            </w:r>
          </w:p>
        </w:tc>
        <w:tc>
          <w:tcPr>
            <w:tcW w:w="708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hAnsi="宋体"/>
                <w:color w:val="000000"/>
                <w:sz w:val="22"/>
              </w:rPr>
              <w:t>综合</w:t>
            </w:r>
            <w:r>
              <w:rPr>
                <w:rFonts w:hAnsi="宋体"/>
                <w:color w:val="000000"/>
                <w:sz w:val="22"/>
              </w:rPr>
              <w:t>复试（包括英语测试）</w:t>
            </w:r>
          </w:p>
        </w:tc>
      </w:tr>
      <w:tr>
        <w:tblPrEx>
          <w:tblCellMar>
            <w:top w:w="0" w:type="dxa"/>
            <w:left w:w="108" w:type="dxa"/>
            <w:bottom w:w="0" w:type="dxa"/>
            <w:right w:w="108" w:type="dxa"/>
          </w:tblCellMar>
        </w:tblPrEx>
        <w:trPr>
          <w:trHeight w:val="510" w:hRule="atLeast"/>
        </w:trPr>
        <w:tc>
          <w:tcPr>
            <w:tcW w:w="2098" w:type="dxa"/>
            <w:vMerge w:val="continue"/>
            <w:tcBorders>
              <w:top w:val="single" w:color="auto" w:sz="4" w:space="0"/>
              <w:left w:val="single" w:color="auto" w:sz="4" w:space="0"/>
              <w:bottom w:val="single" w:color="auto" w:sz="4" w:space="0"/>
              <w:right w:val="single" w:color="auto" w:sz="4" w:space="0"/>
            </w:tcBorders>
            <w:vAlign w:val="center"/>
          </w:tcPr>
          <w:p>
            <w:pPr>
              <w:rPr>
                <w:color w:val="000000"/>
                <w:sz w:val="22"/>
              </w:rPr>
            </w:pPr>
          </w:p>
        </w:tc>
        <w:tc>
          <w:tcPr>
            <w:tcW w:w="3685" w:type="dxa"/>
            <w:tcBorders>
              <w:top w:val="nil"/>
              <w:left w:val="nil"/>
              <w:bottom w:val="single" w:color="auto" w:sz="4" w:space="0"/>
              <w:right w:val="single" w:color="auto" w:sz="4" w:space="0"/>
            </w:tcBorders>
            <w:shd w:val="clear" w:color="auto" w:fill="auto"/>
            <w:noWrap/>
            <w:vAlign w:val="center"/>
          </w:tcPr>
          <w:p>
            <w:pPr>
              <w:jc w:val="center"/>
              <w:rPr>
                <w:color w:val="000000"/>
                <w:sz w:val="22"/>
              </w:rPr>
            </w:pPr>
            <w:r>
              <w:rPr>
                <w:rFonts w:hAnsi="宋体"/>
                <w:color w:val="000000"/>
                <w:sz w:val="22"/>
              </w:rPr>
              <w:t>时间</w:t>
            </w:r>
          </w:p>
        </w:tc>
        <w:tc>
          <w:tcPr>
            <w:tcW w:w="1163" w:type="dxa"/>
            <w:tcBorders>
              <w:top w:val="nil"/>
              <w:left w:val="nil"/>
              <w:bottom w:val="single" w:color="auto" w:sz="4" w:space="0"/>
              <w:right w:val="single" w:color="auto" w:sz="4" w:space="0"/>
            </w:tcBorders>
            <w:shd w:val="clear" w:color="auto" w:fill="auto"/>
            <w:noWrap/>
            <w:vAlign w:val="center"/>
          </w:tcPr>
          <w:p>
            <w:pPr>
              <w:jc w:val="center"/>
              <w:rPr>
                <w:color w:val="000000"/>
                <w:sz w:val="22"/>
              </w:rPr>
            </w:pPr>
            <w:r>
              <w:rPr>
                <w:rFonts w:hAnsi="宋体"/>
                <w:color w:val="000000"/>
                <w:sz w:val="22"/>
              </w:rPr>
              <w:t>方式</w:t>
            </w:r>
          </w:p>
        </w:tc>
        <w:tc>
          <w:tcPr>
            <w:tcW w:w="2239"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复试专家集中地点</w:t>
            </w:r>
          </w:p>
        </w:tc>
      </w:tr>
      <w:tr>
        <w:tblPrEx>
          <w:tblCellMar>
            <w:top w:w="0" w:type="dxa"/>
            <w:left w:w="108" w:type="dxa"/>
            <w:bottom w:w="0" w:type="dxa"/>
            <w:right w:w="108" w:type="dxa"/>
          </w:tblCellMar>
        </w:tblPrEx>
        <w:trPr>
          <w:trHeight w:val="510" w:hRule="atLeast"/>
        </w:trPr>
        <w:tc>
          <w:tcPr>
            <w:tcW w:w="2098"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工商管理（MBA）</w:t>
            </w:r>
          </w:p>
        </w:tc>
        <w:tc>
          <w:tcPr>
            <w:tcW w:w="368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4月6日15:30-21:30</w:t>
            </w:r>
          </w:p>
        </w:tc>
        <w:tc>
          <w:tcPr>
            <w:tcW w:w="1163"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ascii="宋体" w:hAnsi="宋体" w:cs="宋体"/>
                <w:kern w:val="0"/>
                <w:szCs w:val="21"/>
              </w:rPr>
              <w:t>网络远程</w:t>
            </w:r>
          </w:p>
        </w:tc>
        <w:tc>
          <w:tcPr>
            <w:tcW w:w="223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10" w:hRule="atLeast"/>
        </w:trPr>
        <w:tc>
          <w:tcPr>
            <w:tcW w:w="2098"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68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4月7日8:30-12:00，13:30-18:00</w:t>
            </w:r>
          </w:p>
        </w:tc>
        <w:tc>
          <w:tcPr>
            <w:tcW w:w="1163"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ascii="宋体" w:hAnsi="宋体" w:cs="宋体"/>
                <w:kern w:val="0"/>
                <w:szCs w:val="21"/>
              </w:rPr>
              <w:t>网络远程</w:t>
            </w:r>
          </w:p>
        </w:tc>
        <w:tc>
          <w:tcPr>
            <w:tcW w:w="223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10" w:hRule="atLeast"/>
        </w:trPr>
        <w:tc>
          <w:tcPr>
            <w:tcW w:w="2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公共管理（MPA）</w:t>
            </w:r>
          </w:p>
        </w:tc>
        <w:tc>
          <w:tcPr>
            <w:tcW w:w="3685"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4月6日15:30-21:30</w:t>
            </w:r>
          </w:p>
        </w:tc>
        <w:tc>
          <w:tcPr>
            <w:tcW w:w="116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ascii="宋体" w:hAnsi="宋体" w:cs="宋体"/>
                <w:kern w:val="0"/>
                <w:szCs w:val="21"/>
              </w:rPr>
              <w:t>网络远程</w:t>
            </w:r>
          </w:p>
        </w:tc>
        <w:tc>
          <w:tcPr>
            <w:tcW w:w="223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48" w:hRule="atLeast"/>
        </w:trPr>
        <w:tc>
          <w:tcPr>
            <w:tcW w:w="2098" w:type="dxa"/>
            <w:vMerge w:val="restart"/>
            <w:tcBorders>
              <w:top w:val="single" w:color="auto" w:sz="4" w:space="0"/>
              <w:left w:val="single" w:color="auto" w:sz="4" w:space="0"/>
              <w:right w:val="single" w:color="auto" w:sz="4" w:space="0"/>
            </w:tcBorders>
            <w:shd w:val="clear" w:color="auto" w:fill="auto"/>
            <w:noWrap/>
            <w:vAlign w:val="center"/>
          </w:tcPr>
          <w:p>
            <w:pPr>
              <w:rPr>
                <w:rFonts w:ascii="宋体" w:hAnsi="宋体" w:cs="宋体"/>
                <w:kern w:val="0"/>
                <w:szCs w:val="21"/>
              </w:rPr>
            </w:pPr>
            <w:r>
              <w:rPr>
                <w:rFonts w:ascii="宋体" w:hAnsi="宋体" w:cs="宋体"/>
                <w:kern w:val="0"/>
                <w:szCs w:val="21"/>
              </w:rPr>
              <w:t xml:space="preserve"> 会计（MPAcc）</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4月6日15：3</w:t>
            </w:r>
            <w:r>
              <w:rPr>
                <w:rFonts w:ascii="宋体" w:hAnsi="宋体" w:cs="宋体"/>
                <w:kern w:val="0"/>
                <w:szCs w:val="21"/>
              </w:rPr>
              <w:t>0—</w:t>
            </w:r>
            <w:r>
              <w:rPr>
                <w:rFonts w:hint="eastAsia" w:ascii="宋体" w:hAnsi="宋体" w:cs="宋体"/>
                <w:kern w:val="0"/>
                <w:szCs w:val="21"/>
              </w:rPr>
              <w:t>21：3</w:t>
            </w:r>
            <w:r>
              <w:rPr>
                <w:rFonts w:ascii="宋体" w:hAnsi="宋体" w:cs="宋体"/>
                <w:kern w:val="0"/>
                <w:szCs w:val="21"/>
              </w:rPr>
              <w:t>0</w:t>
            </w:r>
          </w:p>
        </w:tc>
        <w:tc>
          <w:tcPr>
            <w:tcW w:w="1163" w:type="dxa"/>
            <w:vMerge w:val="restart"/>
            <w:tcBorders>
              <w:top w:val="single" w:color="auto" w:sz="4" w:space="0"/>
              <w:left w:val="nil"/>
              <w:right w:val="single" w:color="auto" w:sz="4" w:space="0"/>
            </w:tcBorders>
            <w:shd w:val="clear" w:color="auto" w:fill="auto"/>
            <w:noWrap/>
            <w:vAlign w:val="center"/>
          </w:tcPr>
          <w:p>
            <w:pPr>
              <w:rPr>
                <w:rFonts w:ascii="宋体" w:hAnsi="宋体" w:cs="宋体"/>
                <w:kern w:val="0"/>
                <w:szCs w:val="21"/>
              </w:rPr>
            </w:pPr>
            <w:r>
              <w:rPr>
                <w:rFonts w:ascii="宋体" w:hAnsi="宋体" w:cs="宋体"/>
                <w:kern w:val="0"/>
                <w:szCs w:val="21"/>
              </w:rPr>
              <w:t>网络远程</w:t>
            </w:r>
          </w:p>
        </w:tc>
        <w:tc>
          <w:tcPr>
            <w:tcW w:w="2239" w:type="dxa"/>
            <w:vMerge w:val="restart"/>
            <w:tcBorders>
              <w:top w:val="single" w:color="auto" w:sz="4" w:space="0"/>
              <w:left w:val="nil"/>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48" w:hRule="atLeast"/>
        </w:trPr>
        <w:tc>
          <w:tcPr>
            <w:tcW w:w="2098" w:type="dxa"/>
            <w:vMerge w:val="continue"/>
            <w:tcBorders>
              <w:left w:val="single" w:color="auto" w:sz="4" w:space="0"/>
              <w:bottom w:val="single" w:color="auto" w:sz="4" w:space="0"/>
              <w:right w:val="single" w:color="auto" w:sz="4" w:space="0"/>
            </w:tcBorders>
            <w:shd w:val="clear" w:color="auto" w:fill="auto"/>
            <w:noWrap/>
            <w:vAlign w:val="center"/>
          </w:tcPr>
          <w:p>
            <w:pPr>
              <w:rPr>
                <w:rFonts w:ascii="宋体" w:hAnsi="宋体" w:cs="宋体"/>
                <w:kern w:val="0"/>
                <w:szCs w:val="21"/>
              </w:rPr>
            </w:pP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4月7日8:30-12:00，13:30-18:00</w:t>
            </w:r>
          </w:p>
        </w:tc>
        <w:tc>
          <w:tcPr>
            <w:tcW w:w="1163" w:type="dxa"/>
            <w:vMerge w:val="continue"/>
            <w:tcBorders>
              <w:left w:val="nil"/>
              <w:bottom w:val="single" w:color="auto" w:sz="4" w:space="0"/>
              <w:right w:val="single" w:color="auto" w:sz="4" w:space="0"/>
            </w:tcBorders>
            <w:shd w:val="clear" w:color="auto" w:fill="auto"/>
            <w:noWrap/>
            <w:vAlign w:val="center"/>
          </w:tcPr>
          <w:p>
            <w:pPr>
              <w:rPr>
                <w:rFonts w:ascii="宋体" w:hAnsi="宋体" w:cs="宋体"/>
                <w:kern w:val="0"/>
                <w:szCs w:val="21"/>
              </w:rPr>
            </w:pPr>
          </w:p>
        </w:tc>
        <w:tc>
          <w:tcPr>
            <w:tcW w:w="2239" w:type="dxa"/>
            <w:vMerge w:val="continue"/>
            <w:tcBorders>
              <w:left w:val="nil"/>
              <w:right w:val="single" w:color="auto" w:sz="4" w:space="0"/>
            </w:tcBorders>
            <w:shd w:val="clear" w:color="auto" w:fill="auto"/>
            <w:vAlign w:val="center"/>
          </w:tcPr>
          <w:p>
            <w:pPr>
              <w:rPr>
                <w:rFonts w:ascii="宋体" w:hAnsi="宋体" w:cs="宋体"/>
                <w:kern w:val="0"/>
                <w:szCs w:val="21"/>
              </w:rPr>
            </w:pPr>
          </w:p>
        </w:tc>
      </w:tr>
      <w:tr>
        <w:tblPrEx>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法律（法学）非全</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4月6日15：3</w:t>
            </w:r>
            <w:r>
              <w:rPr>
                <w:rFonts w:ascii="宋体" w:hAnsi="宋体" w:cs="宋体"/>
                <w:kern w:val="0"/>
                <w:szCs w:val="21"/>
              </w:rPr>
              <w:t>0—</w:t>
            </w:r>
            <w:r>
              <w:rPr>
                <w:rFonts w:hint="eastAsia" w:ascii="宋体" w:hAnsi="宋体" w:cs="宋体"/>
                <w:kern w:val="0"/>
                <w:szCs w:val="21"/>
              </w:rPr>
              <w:t>21：3</w:t>
            </w:r>
            <w:r>
              <w:rPr>
                <w:rFonts w:ascii="宋体" w:hAnsi="宋体" w:cs="宋体"/>
                <w:kern w:val="0"/>
                <w:szCs w:val="21"/>
              </w:rPr>
              <w:t>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ascii="宋体" w:hAnsi="宋体" w:cs="宋体"/>
                <w:kern w:val="0"/>
                <w:szCs w:val="21"/>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法律（法学）全日制</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4月7日8:30-12:00，13:30-18:00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ascii="宋体" w:hAnsi="宋体" w:cs="宋体"/>
                <w:kern w:val="0"/>
                <w:szCs w:val="21"/>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金融硕士</w:t>
            </w:r>
            <w:r>
              <w:rPr>
                <w:rFonts w:hint="eastAsia" w:ascii="宋体" w:hAnsi="宋体" w:cs="宋体"/>
                <w:kern w:val="0"/>
                <w:szCs w:val="21"/>
              </w:rPr>
              <w:t>（MF）</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4月6日15：3</w:t>
            </w:r>
            <w:r>
              <w:rPr>
                <w:rFonts w:ascii="宋体" w:hAnsi="宋体" w:cs="宋体"/>
                <w:kern w:val="0"/>
                <w:szCs w:val="21"/>
              </w:rPr>
              <w:t>0—</w:t>
            </w:r>
            <w:r>
              <w:rPr>
                <w:rFonts w:hint="eastAsia" w:ascii="宋体" w:hAnsi="宋体" w:cs="宋体"/>
                <w:kern w:val="0"/>
                <w:szCs w:val="21"/>
              </w:rPr>
              <w:t>21：3</w:t>
            </w:r>
            <w:r>
              <w:rPr>
                <w:rFonts w:ascii="宋体" w:hAnsi="宋体" w:cs="宋体"/>
                <w:kern w:val="0"/>
                <w:szCs w:val="21"/>
              </w:rPr>
              <w:t>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ascii="宋体" w:hAnsi="宋体" w:cs="宋体"/>
                <w:kern w:val="0"/>
                <w:szCs w:val="21"/>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bl>
    <w:p>
      <w:pPr>
        <w:spacing w:line="360" w:lineRule="auto"/>
        <w:rPr>
          <w:b/>
          <w:bCs/>
          <w:sz w:val="24"/>
          <w:szCs w:val="24"/>
        </w:rPr>
      </w:pPr>
      <w:r>
        <w:rPr>
          <w:rFonts w:hint="eastAsia" w:asciiTheme="minorHAnsi" w:hAnsiTheme="minorHAnsi" w:eastAsiaTheme="minorEastAsia" w:cstheme="minorBidi"/>
          <w:b/>
          <w:color w:val="000000"/>
          <w:kern w:val="2"/>
          <w:sz w:val="24"/>
          <w:szCs w:val="24"/>
          <w:lang w:val="en-US" w:eastAsia="zh-CN" w:bidi="ar-SA"/>
        </w:rPr>
        <w:t>（3）</w:t>
      </w:r>
      <w:bookmarkEnd w:id="0"/>
      <w:r>
        <w:rPr>
          <w:rFonts w:hint="eastAsia" w:asciiTheme="minorHAnsi" w:hAnsiTheme="minorHAnsi" w:eastAsiaTheme="minorEastAsia" w:cstheme="minorBidi"/>
          <w:b/>
          <w:color w:val="000000"/>
          <w:kern w:val="2"/>
          <w:sz w:val="24"/>
          <w:szCs w:val="24"/>
          <w:lang w:val="en-US" w:eastAsia="zh-CN" w:bidi="ar-SA"/>
        </w:rPr>
        <w:t>专业笔试、同等学力和跨专业考生加试时间和方式</w:t>
      </w:r>
    </w:p>
    <w:tbl>
      <w:tblPr>
        <w:tblStyle w:val="6"/>
        <w:tblW w:w="9252" w:type="dxa"/>
        <w:jc w:val="center"/>
        <w:tblLayout w:type="fixed"/>
        <w:tblCellMar>
          <w:top w:w="0" w:type="dxa"/>
          <w:left w:w="108" w:type="dxa"/>
          <w:bottom w:w="0" w:type="dxa"/>
          <w:right w:w="108" w:type="dxa"/>
        </w:tblCellMar>
      </w:tblPr>
      <w:tblGrid>
        <w:gridCol w:w="1824"/>
        <w:gridCol w:w="1794"/>
        <w:gridCol w:w="885"/>
        <w:gridCol w:w="1524"/>
        <w:gridCol w:w="993"/>
        <w:gridCol w:w="993"/>
        <w:gridCol w:w="1239"/>
      </w:tblGrid>
      <w:tr>
        <w:tblPrEx>
          <w:tblCellMar>
            <w:top w:w="0" w:type="dxa"/>
            <w:left w:w="108" w:type="dxa"/>
            <w:bottom w:w="0" w:type="dxa"/>
            <w:right w:w="108" w:type="dxa"/>
          </w:tblCellMar>
        </w:tblPrEx>
        <w:trPr>
          <w:trHeight w:val="510" w:hRule="atLeast"/>
          <w:jc w:val="center"/>
        </w:trPr>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 xml:space="preserve">专业       </w:t>
            </w:r>
          </w:p>
        </w:tc>
        <w:tc>
          <w:tcPr>
            <w:tcW w:w="26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专业笔试</w:t>
            </w:r>
          </w:p>
        </w:tc>
        <w:tc>
          <w:tcPr>
            <w:tcW w:w="251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跨专业笔试加试</w:t>
            </w:r>
          </w:p>
        </w:tc>
        <w:tc>
          <w:tcPr>
            <w:tcW w:w="2232" w:type="dxa"/>
            <w:gridSpan w:val="2"/>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同等学历笔试加试</w:t>
            </w:r>
          </w:p>
        </w:tc>
      </w:tr>
      <w:tr>
        <w:tblPrEx>
          <w:tblCellMar>
            <w:top w:w="0" w:type="dxa"/>
            <w:left w:w="108" w:type="dxa"/>
            <w:bottom w:w="0" w:type="dxa"/>
            <w:right w:w="108" w:type="dxa"/>
          </w:tblCellMar>
        </w:tblPrEx>
        <w:trPr>
          <w:trHeight w:val="510"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7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时间</w:t>
            </w:r>
          </w:p>
        </w:tc>
        <w:tc>
          <w:tcPr>
            <w:tcW w:w="8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方式</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时间</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方式</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时间</w:t>
            </w:r>
          </w:p>
        </w:tc>
        <w:tc>
          <w:tcPr>
            <w:tcW w:w="123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方式</w:t>
            </w:r>
          </w:p>
        </w:tc>
      </w:tr>
      <w:tr>
        <w:tblPrEx>
          <w:tblCellMar>
            <w:top w:w="0" w:type="dxa"/>
            <w:left w:w="108" w:type="dxa"/>
            <w:bottom w:w="0" w:type="dxa"/>
            <w:right w:w="108" w:type="dxa"/>
          </w:tblCellMar>
        </w:tblPrEx>
        <w:trPr>
          <w:trHeight w:val="510" w:hRule="atLeast"/>
          <w:jc w:val="center"/>
        </w:trPr>
        <w:tc>
          <w:tcPr>
            <w:tcW w:w="18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 xml:space="preserve"> 会计（MPAcc）</w:t>
            </w:r>
          </w:p>
        </w:tc>
        <w:tc>
          <w:tcPr>
            <w:tcW w:w="17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无笔试</w:t>
            </w:r>
          </w:p>
        </w:tc>
        <w:tc>
          <w:tcPr>
            <w:tcW w:w="8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4月7日18：3</w:t>
            </w:r>
            <w:r>
              <w:rPr>
                <w:rFonts w:ascii="宋体" w:hAnsi="宋体" w:cs="宋体"/>
                <w:kern w:val="0"/>
                <w:szCs w:val="21"/>
              </w:rPr>
              <w:t>0-</w:t>
            </w:r>
            <w:r>
              <w:rPr>
                <w:rFonts w:hint="eastAsia" w:ascii="宋体" w:hAnsi="宋体" w:cs="宋体"/>
                <w:kern w:val="0"/>
                <w:szCs w:val="21"/>
              </w:rPr>
              <w:t>20：3</w:t>
            </w:r>
            <w:r>
              <w:rPr>
                <w:rFonts w:ascii="宋体" w:hAnsi="宋体" w:cs="宋体"/>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开卷</w:t>
            </w:r>
          </w:p>
        </w:tc>
        <w:tc>
          <w:tcPr>
            <w:tcW w:w="993" w:type="dxa"/>
            <w:tcBorders>
              <w:top w:val="nil"/>
              <w:left w:val="nil"/>
              <w:bottom w:val="single" w:color="auto" w:sz="4" w:space="0"/>
              <w:right w:val="single" w:color="auto" w:sz="4" w:space="0"/>
            </w:tcBorders>
          </w:tcPr>
          <w:p>
            <w:pPr>
              <w:widowControl/>
              <w:jc w:val="center"/>
              <w:rPr>
                <w:rFonts w:ascii="宋体" w:hAnsi="宋体" w:cs="宋体"/>
                <w:kern w:val="0"/>
                <w:szCs w:val="21"/>
              </w:rPr>
            </w:pPr>
          </w:p>
        </w:tc>
        <w:tc>
          <w:tcPr>
            <w:tcW w:w="1239" w:type="dxa"/>
            <w:tcBorders>
              <w:top w:val="nil"/>
              <w:left w:val="nil"/>
              <w:bottom w:val="single" w:color="auto" w:sz="4" w:space="0"/>
              <w:right w:val="single" w:color="auto" w:sz="4" w:space="0"/>
            </w:tcBorders>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10" w:hRule="atLeast"/>
          <w:jc w:val="center"/>
        </w:trPr>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金融硕士（MF）</w:t>
            </w:r>
          </w:p>
        </w:tc>
        <w:tc>
          <w:tcPr>
            <w:tcW w:w="17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4月7日09:00-11:00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开卷</w:t>
            </w:r>
          </w:p>
        </w:tc>
        <w:tc>
          <w:tcPr>
            <w:tcW w:w="15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无加试</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993"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见综合素质面试和外语测试</w:t>
            </w:r>
            <w:r>
              <w:rPr>
                <w:rFonts w:hint="eastAsia" w:ascii="宋体" w:hAnsi="宋体" w:cs="宋体"/>
                <w:kern w:val="0"/>
                <w:szCs w:val="21"/>
              </w:rPr>
              <w:t>”</w:t>
            </w:r>
          </w:p>
        </w:tc>
        <w:tc>
          <w:tcPr>
            <w:tcW w:w="1239"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开卷</w:t>
            </w:r>
          </w:p>
        </w:tc>
      </w:tr>
    </w:tbl>
    <w:p>
      <w:pPr>
        <w:widowControl/>
        <w:shd w:val="clear" w:color="auto" w:fill="FFFFFF"/>
        <w:spacing w:line="360" w:lineRule="atLeast"/>
        <w:ind w:firstLine="562" w:firstLineChars="200"/>
        <w:rPr>
          <w:rFonts w:ascii="仿宋" w:hAnsi="仿宋" w:eastAsia="仿宋" w:cs="宋体"/>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2.复试程序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olor w:val="333333"/>
          <w:sz w:val="28"/>
          <w:szCs w:val="28"/>
        </w:rPr>
        <w:t>缴纳复试费（100元/生）→提交复试材料→学院资格审查→签订《诚信复试承诺书》→进入复试各环节。</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shd w:val="clear" w:color="auto" w:fill="FFFFFF"/>
        </w:rPr>
        <w:t>3.复试缴费及材料提交</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（一）4月6日15：00</w:t>
      </w:r>
      <w:r>
        <w:rPr>
          <w:rFonts w:ascii="仿宋" w:hAnsi="仿宋" w:eastAsia="仿宋" w:cs="宋体"/>
          <w:color w:val="000000"/>
          <w:kern w:val="0"/>
          <w:sz w:val="28"/>
          <w:szCs w:val="28"/>
          <w:shd w:val="clear" w:color="auto" w:fill="FFFFFF"/>
        </w:rPr>
        <w:t>前在“智慧研招”系统</w:t>
      </w:r>
      <w:r>
        <w:rPr>
          <w:rFonts w:hint="eastAsia" w:ascii="仿宋" w:hAnsi="仿宋" w:eastAsia="仿宋"/>
          <w:sz w:val="28"/>
          <w:szCs w:val="28"/>
          <w:shd w:val="clear" w:color="auto" w:fill="FFFFFF"/>
        </w:rPr>
        <w:t>（</w:t>
      </w:r>
      <w:r>
        <w:rPr>
          <w:rFonts w:ascii="仿宋" w:hAnsi="仿宋" w:eastAsia="仿宋"/>
          <w:sz w:val="28"/>
          <w:szCs w:val="28"/>
        </w:rPr>
        <w:t>https://bdyzb.cugb.edu.cn/tp/zs/login/toLogin/ss</w:t>
      </w:r>
      <w:r>
        <w:rPr>
          <w:rFonts w:hint="eastAsia" w:ascii="仿宋" w:hAnsi="仿宋" w:eastAsia="仿宋"/>
          <w:sz w:val="28"/>
          <w:szCs w:val="28"/>
        </w:rPr>
        <w:t>）</w:t>
      </w:r>
      <w:r>
        <w:rPr>
          <w:rFonts w:ascii="仿宋" w:hAnsi="仿宋" w:eastAsia="仿宋" w:cs="宋体"/>
          <w:color w:val="000000"/>
          <w:kern w:val="0"/>
          <w:sz w:val="28"/>
          <w:szCs w:val="28"/>
          <w:shd w:val="clear" w:color="auto" w:fill="FFFFFF"/>
        </w:rPr>
        <w:t>中完成复试缴费及材料提交。考生用户名为考生编号，初试密码为考生身份证号。逾期未完成者视为主动放弃复试资格。</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（三）须提交的具体复试材料及要求详见《中国地质大学（北京）经济管理学院</w:t>
      </w:r>
      <w:r>
        <w:rPr>
          <w:rFonts w:ascii="仿宋" w:hAnsi="仿宋" w:eastAsia="仿宋" w:cs="宋体"/>
          <w:color w:val="333333"/>
          <w:kern w:val="0"/>
          <w:sz w:val="28"/>
          <w:szCs w:val="28"/>
        </w:rPr>
        <w:t xml:space="preserve"> 2023年专业学位类硕士研究生复试录取工作方案</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https://bm.cugb.edu.cn/mba/c/2023-03-23/773442.shtml</w:t>
      </w:r>
      <w:r>
        <w:rPr>
          <w:rFonts w:hint="eastAsia" w:ascii="仿宋" w:hAnsi="仿宋" w:eastAsia="仿宋" w:cs="宋体"/>
          <w:color w:val="333333"/>
          <w:kern w:val="0"/>
          <w:sz w:val="28"/>
          <w:szCs w:val="28"/>
        </w:rPr>
        <w:t>）。</w:t>
      </w:r>
    </w:p>
    <w:p>
      <w:pPr>
        <w:widowControl/>
        <w:shd w:val="clear" w:color="auto" w:fill="FFFFFF"/>
        <w:spacing w:line="360" w:lineRule="atLeast"/>
        <w:ind w:firstLine="643" w:firstLineChars="200"/>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五、说明</w:t>
      </w:r>
    </w:p>
    <w:p>
      <w:pPr>
        <w:pStyle w:val="5"/>
        <w:shd w:val="clear" w:color="auto" w:fill="FFFFFF"/>
        <w:wordWrap w:val="0"/>
        <w:spacing w:before="0" w:beforeAutospacing="0" w:after="0" w:afterAutospacing="0"/>
        <w:ind w:firstLine="450"/>
        <w:jc w:val="both"/>
        <w:rPr>
          <w:rFonts w:ascii="仿宋" w:hAnsi="仿宋" w:eastAsia="仿宋"/>
          <w:color w:val="333333"/>
          <w:sz w:val="28"/>
          <w:szCs w:val="28"/>
        </w:rPr>
      </w:pPr>
      <w:r>
        <w:rPr>
          <w:rFonts w:hint="eastAsia" w:ascii="仿宋" w:hAnsi="仿宋" w:eastAsia="仿宋"/>
          <w:color w:val="333333"/>
          <w:sz w:val="28"/>
          <w:szCs w:val="28"/>
        </w:rPr>
        <w:t>1.“2023年全国硕士研究生招生网上调剂意向采集系统”将于3月31日开通。符合调剂条件且有调剂意向的考生，可通过该系统查询我校调剂意向余额，做好调剂准备。</w:t>
      </w:r>
    </w:p>
    <w:p>
      <w:pPr>
        <w:pStyle w:val="5"/>
        <w:shd w:val="clear" w:color="auto" w:fill="FFFFFF"/>
        <w:wordWrap w:val="0"/>
        <w:spacing w:before="0" w:beforeAutospacing="0" w:after="0" w:afterAutospacing="0"/>
        <w:ind w:firstLine="450"/>
        <w:jc w:val="both"/>
        <w:rPr>
          <w:rFonts w:ascii="仿宋" w:hAnsi="仿宋" w:eastAsia="仿宋"/>
          <w:color w:val="333333"/>
          <w:sz w:val="28"/>
          <w:szCs w:val="28"/>
        </w:rPr>
      </w:pPr>
      <w:r>
        <w:rPr>
          <w:rFonts w:hint="eastAsia" w:ascii="仿宋" w:hAnsi="仿宋" w:eastAsia="仿宋"/>
          <w:b/>
          <w:bCs/>
          <w:color w:val="FF0000"/>
          <w:sz w:val="28"/>
          <w:szCs w:val="28"/>
        </w:rPr>
        <w:t>特别提醒：“2023年全国硕士研究生招生调剂服务系统”将于4月6日开通。</w:t>
      </w:r>
      <w:r>
        <w:rPr>
          <w:rFonts w:hint="eastAsia" w:ascii="仿宋" w:hAnsi="仿宋" w:eastAsia="仿宋"/>
          <w:color w:val="333333"/>
          <w:sz w:val="28"/>
          <w:szCs w:val="28"/>
        </w:rPr>
        <w:t>请有意调剂到我院的考生，在调剂服务系统开通后，及时提交调剂申请。</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2.收到复试通知的调剂考生须严格按照我院规定的时间、地点参加复试，逾期视为自动放弃复试资格。通过复试的考生收到我校“待录取”通知后，须在规定时间内予以确认，逾期将视为自动放弃。通过调剂系统确认已接收其他招生单位或其他专业“待录取”通知的考生，视为自动放弃该调剂专业的调剂复试资格和拟录取资格，我院将按照调剂复试录取成绩高低顺次拟录取下一位复试合格考生。</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rPr>
        <w:t>3.其他信息请参见《</w:t>
      </w:r>
      <w:r>
        <w:rPr>
          <w:rFonts w:hint="eastAsia" w:ascii="仿宋" w:hAnsi="仿宋" w:eastAsia="仿宋" w:cs="宋体"/>
          <w:color w:val="333333"/>
          <w:kern w:val="0"/>
          <w:sz w:val="28"/>
          <w:szCs w:val="28"/>
        </w:rPr>
        <w:t>中国地质大学（北京）经济管理学院</w:t>
      </w:r>
      <w:r>
        <w:rPr>
          <w:rFonts w:ascii="仿宋" w:hAnsi="仿宋" w:eastAsia="仿宋" w:cs="宋体"/>
          <w:color w:val="333333"/>
          <w:kern w:val="0"/>
          <w:sz w:val="28"/>
          <w:szCs w:val="28"/>
        </w:rPr>
        <w:t xml:space="preserve"> 2023年专业学位类硕士研究生复试录取工作方案</w:t>
      </w:r>
      <w:r>
        <w:rPr>
          <w:rFonts w:hint="eastAsia" w:ascii="仿宋" w:hAnsi="仿宋" w:eastAsia="仿宋" w:cs="宋体"/>
          <w:color w:val="000000"/>
          <w:kern w:val="0"/>
          <w:sz w:val="28"/>
          <w:szCs w:val="28"/>
        </w:rPr>
        <w:t>》</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https://bm.cugb.edu.cn/mba/c/2023-03-23/773442.shtml</w:t>
      </w:r>
      <w:r>
        <w:rPr>
          <w:rFonts w:hint="eastAsia" w:ascii="仿宋" w:hAnsi="仿宋" w:eastAsia="仿宋" w:cs="宋体"/>
          <w:color w:val="333333"/>
          <w:kern w:val="0"/>
          <w:sz w:val="28"/>
          <w:szCs w:val="28"/>
        </w:rPr>
        <w:t>）</w:t>
      </w:r>
      <w:r>
        <w:rPr>
          <w:rFonts w:hint="eastAsia" w:ascii="仿宋" w:hAnsi="仿宋" w:eastAsia="仿宋" w:cs="宋体"/>
          <w:color w:val="000000"/>
          <w:kern w:val="0"/>
          <w:sz w:val="28"/>
          <w:szCs w:val="28"/>
        </w:rPr>
        <w:t>。</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请及时关注中国地质大学（北京）研究生院招生信息、经济管理学院网站招生信息相关通知。</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jc w:val="right"/>
        <w:rPr>
          <w:rFonts w:ascii="仿宋" w:hAnsi="仿宋" w:eastAsia="仿宋" w:cs="宋体"/>
          <w:color w:val="333333"/>
          <w:kern w:val="0"/>
          <w:sz w:val="28"/>
          <w:szCs w:val="28"/>
        </w:rPr>
      </w:pPr>
      <w:r>
        <w:rPr>
          <w:rFonts w:hint="eastAsia" w:ascii="仿宋" w:hAnsi="仿宋" w:eastAsia="仿宋" w:cs="宋体"/>
          <w:color w:val="333333"/>
          <w:kern w:val="0"/>
          <w:sz w:val="28"/>
          <w:szCs w:val="28"/>
        </w:rPr>
        <w:t>中国地质大学（北京）经济管理</w:t>
      </w:r>
      <w:r>
        <w:rPr>
          <w:rFonts w:hint="eastAsia" w:ascii="仿宋" w:hAnsi="仿宋" w:eastAsia="仿宋" w:cs="宋体"/>
          <w:color w:val="000000"/>
          <w:kern w:val="0"/>
          <w:sz w:val="28"/>
          <w:szCs w:val="28"/>
        </w:rPr>
        <w:t>学院</w:t>
      </w:r>
    </w:p>
    <w:p>
      <w:pPr>
        <w:widowControl/>
        <w:shd w:val="clear" w:color="auto" w:fill="FFFFFF"/>
        <w:spacing w:line="360" w:lineRule="atLeast"/>
        <w:ind w:firstLine="5600" w:firstLineChars="2000"/>
        <w:jc w:val="right"/>
        <w:rPr>
          <w:rFonts w:ascii="仿宋" w:hAnsi="仿宋" w:eastAsia="仿宋" w:cs="宋体"/>
          <w:color w:val="333333"/>
          <w:kern w:val="0"/>
          <w:sz w:val="28"/>
          <w:szCs w:val="28"/>
        </w:rPr>
      </w:pPr>
      <w:r>
        <w:rPr>
          <w:rFonts w:hint="eastAsia" w:ascii="仿宋" w:hAnsi="仿宋" w:eastAsia="仿宋" w:cs="宋体"/>
          <w:color w:val="000000"/>
          <w:kern w:val="0"/>
          <w:sz w:val="28"/>
          <w:szCs w:val="28"/>
        </w:rPr>
        <w:t>2023年</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月1日</w:t>
      </w:r>
    </w:p>
    <w:p>
      <w:pPr>
        <w:rPr>
          <w:rFonts w:ascii="仿宋" w:hAnsi="仿宋" w:eastAsia="仿宋"/>
          <w:sz w:val="32"/>
          <w:szCs w:val="32"/>
        </w:rPr>
      </w:pPr>
    </w:p>
    <w:sectPr>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3tDQwNjAxNjEyMbdU0lEKTi0uzszPAykwrgUAdbNZMCwAAAA="/>
    <w:docVar w:name="commondata" w:val="eyJoZGlkIjoiNGZiZjAyNjQyNTNlNmNkMzM3NDFhMDhiMzA5MmY3NTgifQ=="/>
  </w:docVars>
  <w:rsids>
    <w:rsidRoot w:val="00172A27"/>
    <w:rsid w:val="00034D4B"/>
    <w:rsid w:val="00051132"/>
    <w:rsid w:val="00065B52"/>
    <w:rsid w:val="0007258D"/>
    <w:rsid w:val="00084711"/>
    <w:rsid w:val="000F437C"/>
    <w:rsid w:val="00101A8D"/>
    <w:rsid w:val="00153930"/>
    <w:rsid w:val="00172A27"/>
    <w:rsid w:val="001A36EB"/>
    <w:rsid w:val="00217A04"/>
    <w:rsid w:val="00227741"/>
    <w:rsid w:val="00227B9A"/>
    <w:rsid w:val="00234FB5"/>
    <w:rsid w:val="00270C1D"/>
    <w:rsid w:val="002A7A7E"/>
    <w:rsid w:val="002C46B6"/>
    <w:rsid w:val="002C4D27"/>
    <w:rsid w:val="003178C3"/>
    <w:rsid w:val="00364632"/>
    <w:rsid w:val="003803BA"/>
    <w:rsid w:val="00381359"/>
    <w:rsid w:val="003C21E7"/>
    <w:rsid w:val="0041702C"/>
    <w:rsid w:val="004A7C8D"/>
    <w:rsid w:val="004B6572"/>
    <w:rsid w:val="004D1281"/>
    <w:rsid w:val="004D21DD"/>
    <w:rsid w:val="00511309"/>
    <w:rsid w:val="00517996"/>
    <w:rsid w:val="00536A5D"/>
    <w:rsid w:val="00563E94"/>
    <w:rsid w:val="00590016"/>
    <w:rsid w:val="005A4A10"/>
    <w:rsid w:val="005B06B5"/>
    <w:rsid w:val="00603A94"/>
    <w:rsid w:val="006377F9"/>
    <w:rsid w:val="006865DA"/>
    <w:rsid w:val="0069308F"/>
    <w:rsid w:val="006B5C2D"/>
    <w:rsid w:val="006E3CFC"/>
    <w:rsid w:val="006E3DE7"/>
    <w:rsid w:val="007038AC"/>
    <w:rsid w:val="00725DBB"/>
    <w:rsid w:val="00752F7A"/>
    <w:rsid w:val="00785277"/>
    <w:rsid w:val="007D1896"/>
    <w:rsid w:val="007D78C6"/>
    <w:rsid w:val="007E5CCD"/>
    <w:rsid w:val="007E7184"/>
    <w:rsid w:val="008572E1"/>
    <w:rsid w:val="00882BD4"/>
    <w:rsid w:val="008930D9"/>
    <w:rsid w:val="00894EF3"/>
    <w:rsid w:val="008B7065"/>
    <w:rsid w:val="009062ED"/>
    <w:rsid w:val="00934033"/>
    <w:rsid w:val="009514F5"/>
    <w:rsid w:val="00987BF2"/>
    <w:rsid w:val="00992A48"/>
    <w:rsid w:val="00A02076"/>
    <w:rsid w:val="00A02A9D"/>
    <w:rsid w:val="00A40A24"/>
    <w:rsid w:val="00A556C0"/>
    <w:rsid w:val="00A62C26"/>
    <w:rsid w:val="00A82919"/>
    <w:rsid w:val="00AA0650"/>
    <w:rsid w:val="00AB0614"/>
    <w:rsid w:val="00AD073D"/>
    <w:rsid w:val="00AD0ED9"/>
    <w:rsid w:val="00AD5B08"/>
    <w:rsid w:val="00B069AC"/>
    <w:rsid w:val="00B46222"/>
    <w:rsid w:val="00B724D8"/>
    <w:rsid w:val="00BF0399"/>
    <w:rsid w:val="00C204DC"/>
    <w:rsid w:val="00C27357"/>
    <w:rsid w:val="00C32A47"/>
    <w:rsid w:val="00C566C9"/>
    <w:rsid w:val="00CA4D18"/>
    <w:rsid w:val="00CB01EE"/>
    <w:rsid w:val="00CF50A5"/>
    <w:rsid w:val="00D03FD0"/>
    <w:rsid w:val="00D13A3E"/>
    <w:rsid w:val="00D342B1"/>
    <w:rsid w:val="00D44151"/>
    <w:rsid w:val="00DA5EE2"/>
    <w:rsid w:val="00DF026B"/>
    <w:rsid w:val="00E00465"/>
    <w:rsid w:val="00E12FF7"/>
    <w:rsid w:val="00E3691D"/>
    <w:rsid w:val="00EB7C0E"/>
    <w:rsid w:val="00ED0410"/>
    <w:rsid w:val="00ED370A"/>
    <w:rsid w:val="00F40196"/>
    <w:rsid w:val="06112117"/>
    <w:rsid w:val="071935D9"/>
    <w:rsid w:val="0A36039E"/>
    <w:rsid w:val="0D7B27C5"/>
    <w:rsid w:val="0DD66C40"/>
    <w:rsid w:val="16C37EBD"/>
    <w:rsid w:val="25227A45"/>
    <w:rsid w:val="273B1202"/>
    <w:rsid w:val="2ACA2711"/>
    <w:rsid w:val="2D837053"/>
    <w:rsid w:val="30C916BD"/>
    <w:rsid w:val="3298577B"/>
    <w:rsid w:val="36A22794"/>
    <w:rsid w:val="376516ED"/>
    <w:rsid w:val="39E114C1"/>
    <w:rsid w:val="3D8B656B"/>
    <w:rsid w:val="405A5E8D"/>
    <w:rsid w:val="47A54027"/>
    <w:rsid w:val="498A2067"/>
    <w:rsid w:val="4A655B5A"/>
    <w:rsid w:val="4B992C19"/>
    <w:rsid w:val="4D842408"/>
    <w:rsid w:val="50671F12"/>
    <w:rsid w:val="51486726"/>
    <w:rsid w:val="57C53B67"/>
    <w:rsid w:val="5C10379E"/>
    <w:rsid w:val="61F9485E"/>
    <w:rsid w:val="64ED023F"/>
    <w:rsid w:val="65167033"/>
    <w:rsid w:val="670F7DF5"/>
    <w:rsid w:val="6D54588F"/>
    <w:rsid w:val="6F963925"/>
    <w:rsid w:val="717C314F"/>
    <w:rsid w:val="7217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2164</Words>
  <Characters>2676</Characters>
  <Lines>20</Lines>
  <Paragraphs>5</Paragraphs>
  <TotalTime>0</TotalTime>
  <ScaleCrop>false</ScaleCrop>
  <LinksUpToDate>false</LinksUpToDate>
  <CharactersWithSpaces>2691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2023-03-30T10:06:00Z</dcterms:created>
  <dc:creator>Yang YU</dc:creator>
  <cp:lastModifiedBy>MECHREVO</cp:lastModifiedBy>
  <dcterms:modified xsi:type="dcterms:W3CDTF">2023-04-01T07:10:14Z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77C38F587FE4441BBA9FE531273B08DB</vt:lpwstr>
  </property>
</Properties>
</file>