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  <w:r>
        <w:rPr>
          <w:rFonts w:hint="eastAsia" w:ascii="方正小标宋简体" w:hAnsi="宋体" w:eastAsia="方正小标宋简体"/>
          <w:color w:val="000000"/>
          <w:sz w:val="36"/>
          <w:szCs w:val="30"/>
        </w:rPr>
        <w:t>中国地质大学（北京）</w:t>
      </w:r>
    </w:p>
    <w:p>
      <w:pPr>
        <w:spacing w:line="42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  <w:r>
        <w:rPr>
          <w:rFonts w:hint="eastAsia" w:ascii="方正小标宋简体" w:hAnsi="宋体" w:eastAsia="方正小标宋简体"/>
          <w:color w:val="000000"/>
          <w:sz w:val="36"/>
          <w:szCs w:val="30"/>
        </w:rPr>
        <w:t>硕士研究生思想政治素质和道德品质考核要求</w:t>
      </w:r>
    </w:p>
    <w:p>
      <w:pPr>
        <w:spacing w:line="42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</w:p>
    <w:p>
      <w:pPr>
        <w:spacing w:line="540" w:lineRule="atLeast"/>
        <w:ind w:firstLine="627" w:firstLineChars="200"/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一、考核原则。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思</w:t>
      </w:r>
      <w:r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>
      <w:pPr>
        <w:spacing w:line="540" w:lineRule="atLeast"/>
        <w:ind w:firstLine="627" w:firstLineChars="200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二、考核内容。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思想政治素质和道德品质主要是考核考生本人的现实表现，内容应当包括考生的政治态度、思想表现、道德品质、遵纪守法、诚实守信等方面。</w:t>
      </w:r>
    </w:p>
    <w:p>
      <w:pPr>
        <w:spacing w:line="540" w:lineRule="atLeast"/>
        <w:ind w:firstLine="627" w:firstLineChars="200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三、考核标准。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招生单位要强化对考生诚信的要求，充分利用《国家教育考试考生诚信档案》记录，对考生在报考时填写的考试作弊受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>
      <w:pPr>
        <w:spacing w:line="540" w:lineRule="atLeast"/>
        <w:ind w:firstLine="627" w:firstLineChars="200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四、考核方式。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>
      <w:pPr>
        <w:spacing w:line="540" w:lineRule="atLeast"/>
        <w:ind w:firstLine="627" w:firstLineChars="200"/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五、具体作法。</w:t>
      </w:r>
      <w:r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</w:rPr>
        <w:t>学生</w:t>
      </w:r>
      <w:r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</w:rPr>
        <w:t>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023年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</w:p>
    <w:tbl>
      <w:tblPr>
        <w:tblStyle w:val="2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20"/>
        <w:gridCol w:w="825"/>
        <w:gridCol w:w="615"/>
        <w:gridCol w:w="1260"/>
        <w:gridCol w:w="1245"/>
        <w:gridCol w:w="120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7200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>
      <w:pPr>
        <w:rPr>
          <w:rFonts w:ascii="仿宋_GB2312" w:hAnsi="宋体" w:eastAsia="仿宋_GB2312"/>
          <w:color w:val="000000"/>
          <w:sz w:val="21"/>
          <w:szCs w:val="21"/>
        </w:rPr>
      </w:pPr>
    </w:p>
    <w:p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>
      <w:pPr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3DBC6346"/>
    <w:rsid w:val="19FA198D"/>
    <w:rsid w:val="3DB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558</Characters>
  <Lines>0</Lines>
  <Paragraphs>0</Paragraphs>
  <TotalTime>0</TotalTime>
  <ScaleCrop>false</ScaleCrop>
  <LinksUpToDate>false</LinksUpToDate>
  <CharactersWithSpaces>558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2023-03-17T09:10:00Z</dcterms:created>
  <dc:creator>芦俊</dc:creator>
  <cp:lastModifiedBy>芦俊</cp:lastModifiedBy>
  <dcterms:modified xsi:type="dcterms:W3CDTF">2023-03-17T09:17:49Z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A99EE1011DF54F4F9AB6FF3A0B0F9932</vt:lpwstr>
  </property>
</Properties>
</file>