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6591" w14:textId="77777777" w:rsidR="000552EC" w:rsidRDefault="00000000">
      <w:pPr>
        <w:jc w:val="center"/>
        <w:rPr>
          <w:rFonts w:ascii="仿宋" w:eastAsia="仿宋" w:hAnsi="仿宋" w:hint="eastAsia"/>
          <w:b/>
          <w:bCs/>
          <w:sz w:val="36"/>
          <w:szCs w:val="40"/>
        </w:rPr>
      </w:pPr>
      <w:bookmarkStart w:id="0" w:name="_Hlk204371326"/>
      <w:r>
        <w:rPr>
          <w:rFonts w:ascii="仿宋" w:eastAsia="仿宋" w:hAnsi="仿宋" w:hint="eastAsia"/>
          <w:b/>
          <w:bCs/>
          <w:sz w:val="36"/>
          <w:szCs w:val="40"/>
        </w:rPr>
        <w:t>中国地质大学（北京）·石家庄创新研究院</w:t>
      </w:r>
      <w:bookmarkEnd w:id="0"/>
    </w:p>
    <w:p w14:paraId="013F85A7" w14:textId="7A785DB1" w:rsidR="000552EC" w:rsidRDefault="00000000">
      <w:pPr>
        <w:jc w:val="center"/>
        <w:rPr>
          <w:rFonts w:ascii="仿宋" w:eastAsia="仿宋" w:hAnsi="仿宋" w:hint="eastAsia"/>
          <w:b/>
          <w:bCs/>
          <w:sz w:val="36"/>
          <w:szCs w:val="40"/>
        </w:rPr>
      </w:pPr>
      <w:r>
        <w:rPr>
          <w:rFonts w:ascii="仿宋" w:eastAsia="仿宋" w:hAnsi="仿宋" w:hint="eastAsia"/>
          <w:b/>
          <w:bCs/>
          <w:sz w:val="36"/>
          <w:szCs w:val="40"/>
        </w:rPr>
        <w:t>科研团队管理办法</w:t>
      </w:r>
    </w:p>
    <w:p w14:paraId="188E7035" w14:textId="77777777" w:rsidR="00983198" w:rsidRDefault="00983198">
      <w:pPr>
        <w:jc w:val="center"/>
        <w:rPr>
          <w:rFonts w:ascii="仿宋" w:eastAsia="仿宋" w:hAnsi="仿宋"/>
          <w:b/>
          <w:bCs/>
          <w:sz w:val="28"/>
          <w:szCs w:val="32"/>
        </w:rPr>
      </w:pPr>
    </w:p>
    <w:p w14:paraId="7D2C86D2" w14:textId="3C76119C" w:rsidR="000552EC" w:rsidRDefault="00000000">
      <w:pPr>
        <w:jc w:val="center"/>
        <w:rPr>
          <w:rFonts w:ascii="仿宋" w:eastAsia="仿宋" w:hAnsi="仿宋" w:hint="eastAsia"/>
          <w:b/>
          <w:bCs/>
          <w:sz w:val="28"/>
          <w:szCs w:val="32"/>
        </w:rPr>
      </w:pPr>
      <w:r>
        <w:rPr>
          <w:rFonts w:ascii="仿宋" w:eastAsia="仿宋" w:hAnsi="仿宋" w:hint="eastAsia"/>
          <w:b/>
          <w:bCs/>
          <w:sz w:val="28"/>
          <w:szCs w:val="32"/>
        </w:rPr>
        <w:t>第一章 总则</w:t>
      </w:r>
    </w:p>
    <w:p w14:paraId="2B516151"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第一条 为建设高水平科技创新平台，推动中国地质大学（北京）·石家庄创新研究院（以下简写为研究院）科研团队规范化、体系化发展，持续提升团队科技研发水平和成果转化能力，增强科技创新核心竞争力，根据国家相关</w:t>
      </w:r>
      <w:r>
        <w:rPr>
          <w:rFonts w:ascii="仿宋" w:eastAsia="仿宋" w:hAnsi="仿宋"/>
          <w:sz w:val="28"/>
          <w:szCs w:val="32"/>
        </w:rPr>
        <w:t>法律法规</w:t>
      </w:r>
      <w:r>
        <w:rPr>
          <w:rFonts w:ascii="仿宋" w:eastAsia="仿宋" w:hAnsi="仿宋" w:hint="eastAsia"/>
          <w:sz w:val="28"/>
          <w:szCs w:val="32"/>
        </w:rPr>
        <w:t>及</w:t>
      </w:r>
      <w:r>
        <w:rPr>
          <w:rFonts w:ascii="仿宋" w:eastAsia="仿宋" w:hAnsi="仿宋"/>
          <w:sz w:val="28"/>
          <w:szCs w:val="32"/>
        </w:rPr>
        <w:t>科研管理</w:t>
      </w:r>
      <w:r>
        <w:rPr>
          <w:rFonts w:ascii="仿宋" w:eastAsia="仿宋" w:hAnsi="仿宋" w:hint="eastAsia"/>
          <w:sz w:val="28"/>
          <w:szCs w:val="32"/>
        </w:rPr>
        <w:t>与科技成果转化</w:t>
      </w:r>
      <w:r>
        <w:rPr>
          <w:rFonts w:ascii="仿宋" w:eastAsia="仿宋" w:hAnsi="仿宋"/>
          <w:sz w:val="28"/>
          <w:szCs w:val="32"/>
        </w:rPr>
        <w:t>相关规定</w:t>
      </w:r>
      <w:r>
        <w:rPr>
          <w:rFonts w:ascii="仿宋" w:eastAsia="仿宋" w:hAnsi="仿宋" w:hint="eastAsia"/>
          <w:sz w:val="28"/>
          <w:szCs w:val="32"/>
        </w:rPr>
        <w:t>，结合研究院的发展定位和战略目标，特制定本办法。</w:t>
      </w:r>
    </w:p>
    <w:p w14:paraId="3293B7A4"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第二条 科研团队入驻研究院智库平台的宗旨是：通过建立健全高水平科研人才和团队引进机制，倡导多方科研团队的产学研深度融合，完善科技创新、人才培养、成果转化与产业服务的支撑体系，建设高水平科技创新人才队伍，</w:t>
      </w:r>
      <w:r>
        <w:rPr>
          <w:rFonts w:ascii="仿宋" w:eastAsia="仿宋" w:hAnsi="仿宋"/>
          <w:sz w:val="28"/>
          <w:szCs w:val="32"/>
        </w:rPr>
        <w:t>推动高质量</w:t>
      </w:r>
      <w:r>
        <w:rPr>
          <w:rFonts w:ascii="仿宋" w:eastAsia="仿宋" w:hAnsi="仿宋" w:hint="eastAsia"/>
          <w:sz w:val="28"/>
          <w:szCs w:val="32"/>
        </w:rPr>
        <w:t>科研转化成果和产业化成果，助力区域科技创新与经济社会发展。</w:t>
      </w:r>
    </w:p>
    <w:p w14:paraId="4754DD3E" w14:textId="77777777" w:rsidR="000552EC" w:rsidRDefault="00000000">
      <w:pPr>
        <w:jc w:val="center"/>
        <w:rPr>
          <w:rFonts w:ascii="仿宋" w:eastAsia="仿宋" w:hAnsi="仿宋" w:hint="eastAsia"/>
          <w:b/>
          <w:bCs/>
          <w:sz w:val="28"/>
          <w:szCs w:val="32"/>
        </w:rPr>
      </w:pPr>
      <w:r>
        <w:rPr>
          <w:rFonts w:ascii="仿宋" w:eastAsia="仿宋" w:hAnsi="仿宋" w:hint="eastAsia"/>
          <w:b/>
          <w:bCs/>
          <w:sz w:val="28"/>
          <w:szCs w:val="32"/>
        </w:rPr>
        <w:t>第二章 科研团队类型</w:t>
      </w:r>
    </w:p>
    <w:p w14:paraId="5D2C32C2"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第三条 研究院根据不同发展目标和服务方向，设立学术型团队和产业型团队两类科研团队：</w:t>
      </w:r>
    </w:p>
    <w:p w14:paraId="4C20AEC2"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一）学术型团队：以高水平学术专家、关键核心技术和科研创新能力为基础，面向国家战略需求、行业关键共性技术难题及企业“卡脖子”问题，聚焦科技原始创新和关键技术攻关，以科技创新、技术研发、技术推广与产业转化为主要目标，</w:t>
      </w:r>
      <w:bookmarkStart w:id="1" w:name="_Hlk213874380"/>
      <w:r>
        <w:rPr>
          <w:rFonts w:ascii="仿宋" w:eastAsia="仿宋" w:hAnsi="仿宋" w:hint="eastAsia"/>
          <w:sz w:val="28"/>
          <w:szCs w:val="32"/>
        </w:rPr>
        <w:t>以研发应用型关键技术、实现可持续价值提升为根本任务，</w:t>
      </w:r>
      <w:bookmarkEnd w:id="1"/>
      <w:r>
        <w:rPr>
          <w:rFonts w:ascii="仿宋" w:eastAsia="仿宋" w:hAnsi="仿宋"/>
          <w:sz w:val="28"/>
          <w:szCs w:val="32"/>
        </w:rPr>
        <w:t>致力于提升自主创新能</w:t>
      </w:r>
      <w:r>
        <w:rPr>
          <w:rFonts w:ascii="仿宋" w:eastAsia="仿宋" w:hAnsi="仿宋"/>
          <w:sz w:val="28"/>
          <w:szCs w:val="32"/>
        </w:rPr>
        <w:lastRenderedPageBreak/>
        <w:t>力，</w:t>
      </w:r>
      <w:r>
        <w:rPr>
          <w:rFonts w:ascii="仿宋" w:eastAsia="仿宋" w:hAnsi="仿宋" w:hint="eastAsia"/>
          <w:sz w:val="28"/>
          <w:szCs w:val="32"/>
        </w:rPr>
        <w:t>积极促进技术研发成果的价值实现，为石家庄发展形成战略咨询分析建议。</w:t>
      </w:r>
    </w:p>
    <w:p w14:paraId="10CCF531"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（二）产业型团队：</w:t>
      </w:r>
      <w:bookmarkStart w:id="2" w:name="_Hlk213874443"/>
      <w:r>
        <w:rPr>
          <w:rFonts w:ascii="仿宋" w:eastAsia="仿宋" w:hAnsi="仿宋" w:hint="eastAsia"/>
          <w:sz w:val="28"/>
          <w:szCs w:val="32"/>
        </w:rPr>
        <w:t>以市场需求为导向，以产业化能力强、成果转化落地成效显著</w:t>
      </w:r>
      <w:bookmarkEnd w:id="2"/>
      <w:r>
        <w:rPr>
          <w:rFonts w:ascii="仿宋" w:eastAsia="仿宋" w:hAnsi="仿宋" w:hint="eastAsia"/>
          <w:sz w:val="28"/>
          <w:szCs w:val="32"/>
        </w:rPr>
        <w:t>的科技团队为主体，围绕石家庄市及区域主导产业发展方向，聚焦科技成果的规模化转化与产业化落地，以推动成果转化推广为根本任务，</w:t>
      </w:r>
      <w:bookmarkStart w:id="3" w:name="_Hlk213875061"/>
      <w:r>
        <w:rPr>
          <w:rFonts w:ascii="仿宋" w:eastAsia="仿宋" w:hAnsi="仿宋" w:hint="eastAsia"/>
          <w:sz w:val="28"/>
          <w:szCs w:val="32"/>
        </w:rPr>
        <w:t>推动科技创新链与产业链、资金链深度融合，促进科研成果高效孵化和转化应用</w:t>
      </w:r>
      <w:bookmarkEnd w:id="3"/>
      <w:r>
        <w:rPr>
          <w:rFonts w:ascii="仿宋" w:eastAsia="仿宋" w:hAnsi="仿宋" w:hint="eastAsia"/>
          <w:sz w:val="28"/>
          <w:szCs w:val="32"/>
        </w:rPr>
        <w:t>。</w:t>
      </w:r>
    </w:p>
    <w:p w14:paraId="17A79667" w14:textId="77777777" w:rsidR="000552EC" w:rsidRDefault="00000000">
      <w:pPr>
        <w:jc w:val="center"/>
        <w:rPr>
          <w:rFonts w:ascii="仿宋" w:eastAsia="仿宋" w:hAnsi="仿宋" w:hint="eastAsia"/>
          <w:b/>
          <w:bCs/>
          <w:sz w:val="28"/>
          <w:szCs w:val="32"/>
        </w:rPr>
      </w:pPr>
      <w:r>
        <w:rPr>
          <w:rFonts w:ascii="仿宋" w:eastAsia="仿宋" w:hAnsi="仿宋" w:hint="eastAsia"/>
          <w:b/>
          <w:bCs/>
          <w:sz w:val="28"/>
          <w:szCs w:val="32"/>
        </w:rPr>
        <w:t>第三章 科研团队入驻研究院智库平台</w:t>
      </w:r>
    </w:p>
    <w:p w14:paraId="22FCEF99"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第四条 科研团队入驻研究院智库平台的标准</w:t>
      </w:r>
    </w:p>
    <w:p w14:paraId="72D7AF42"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一）学术型团队入驻智库平台标准。团队由中国地质大学（北京）、河北地质大学和相关企业的知名学术专家、青年科研骨干、关键技术研发人员、博士和硕士研究生等组成，团队成员原则不超过10人。学术型团队的研究方向应坚持“四个面向”国家战略导向，聚焦石家庄主导产业和战略性新兴产业，契合研究院重点建设领域，具备明确的技术方向，能够攻克行业“卡脖子”问题和关键共性技术难题，或有望产出原创性、高水平创新成果的能力</w:t>
      </w:r>
      <w:r>
        <w:rPr>
          <w:rFonts w:ascii="仿宋" w:eastAsia="仿宋" w:hAnsi="仿宋" w:hint="eastAsia"/>
          <w:sz w:val="28"/>
          <w:szCs w:val="28"/>
        </w:rPr>
        <w:t>，或可为石家庄发展提供智库支持与决策战略咨询分析建议报告</w:t>
      </w:r>
      <w:r>
        <w:rPr>
          <w:rFonts w:ascii="仿宋" w:eastAsia="仿宋" w:hAnsi="仿宋" w:hint="eastAsia"/>
          <w:sz w:val="28"/>
          <w:szCs w:val="32"/>
        </w:rPr>
        <w:t>。团队负责人应具有正高级及以上职称，且为中国地质大学（北京）或河北地质大学的在职教师，具有较强的科研组织能力、技术引领能力和战略发展分析能力。</w:t>
      </w:r>
    </w:p>
    <w:p w14:paraId="576B6CC3"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（二）产业型团队入驻智库平台标准。团队由中国地质大学（北京）、河北地质大学或石家庄相关企业的科研人员、创业人才、</w:t>
      </w:r>
      <w:r>
        <w:rPr>
          <w:rFonts w:ascii="仿宋" w:eastAsia="仿宋" w:hAnsi="仿宋" w:hint="eastAsia"/>
          <w:sz w:val="28"/>
          <w:szCs w:val="32"/>
        </w:rPr>
        <w:lastRenderedPageBreak/>
        <w:t>技术专家和市场营销骨干等组成，团队成员原则不超过8人。产业型团队应拥有国内外先进的科技成果或技术资源储备，在关键技术和产品方面具备明确的产业化路径和市场化前景，有可执行的成熟商业计划书，为促进研究院产业发展目标做出贡献。团队负责人应</w:t>
      </w:r>
      <w:bookmarkStart w:id="4" w:name="_Hlk205197485"/>
      <w:r>
        <w:rPr>
          <w:rFonts w:ascii="仿宋" w:eastAsia="仿宋" w:hAnsi="仿宋" w:hint="eastAsia"/>
          <w:sz w:val="28"/>
          <w:szCs w:val="32"/>
        </w:rPr>
        <w:t>具有高级及以上职称，</w:t>
      </w:r>
      <w:bookmarkEnd w:id="4"/>
      <w:r>
        <w:rPr>
          <w:rFonts w:ascii="仿宋" w:eastAsia="仿宋" w:hAnsi="仿宋" w:hint="eastAsia"/>
          <w:sz w:val="28"/>
          <w:szCs w:val="32"/>
        </w:rPr>
        <w:t>且为中国地质大学（北京）或河北地质大学的在职教师，</w:t>
      </w:r>
      <w:r>
        <w:rPr>
          <w:rFonts w:ascii="仿宋" w:eastAsia="仿宋" w:hAnsi="仿宋"/>
          <w:sz w:val="28"/>
          <w:szCs w:val="32"/>
        </w:rPr>
        <w:t>具备产业实践经验，</w:t>
      </w:r>
      <w:r>
        <w:rPr>
          <w:rFonts w:ascii="仿宋" w:eastAsia="仿宋" w:hAnsi="仿宋" w:hint="eastAsia"/>
          <w:sz w:val="28"/>
          <w:szCs w:val="32"/>
        </w:rPr>
        <w:t>依托创新成果须拥有明确的自主知识产权，无知识产权权属纠纷，具有良好技术声誉与产业资源整合能力。</w:t>
      </w:r>
    </w:p>
    <w:p w14:paraId="4F38635C"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第五条 科研团队入驻智库平台的程序</w:t>
      </w:r>
    </w:p>
    <w:p w14:paraId="2395F058"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（一）发布征集通知</w:t>
      </w:r>
    </w:p>
    <w:p w14:paraId="2EA78A93"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研究院根据石家庄产业发展需求及年度工作计划，面向中国地质大学（北京）和河北地质大学发布科研团队入驻研究院智库平台征集通知，明确入驻方向、申报材料、流程安排及支持政策等内容。</w:t>
      </w:r>
    </w:p>
    <w:p w14:paraId="41489730"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（二）团队提交入驻申请</w:t>
      </w:r>
    </w:p>
    <w:p w14:paraId="18DCF351"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拟入驻研究院智库平台的科研团队需按要求提交入驻申请书、成员基本信息、团队建设方案和发展规划、可行性报告或商业计划书、知识产权及科研成果相关材料等材料。</w:t>
      </w:r>
    </w:p>
    <w:p w14:paraId="6F6F2CF6"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（三）团队综合能力评价</w:t>
      </w:r>
    </w:p>
    <w:p w14:paraId="52609EFF"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项目部负责对申请入驻团队申报材料的形式审查，联合分管副院长或院长助理初审通过后，组织开展对团队综合能力评价，包括团队负责人专业能力、核心成员构成、科研技术方向与科研成果先进性、技术成熟度、知识产权归属情况、科研成果转化潜力、</w:t>
      </w:r>
      <w:r>
        <w:rPr>
          <w:rFonts w:ascii="仿宋" w:eastAsia="仿宋" w:hAnsi="仿宋" w:hint="eastAsia"/>
          <w:sz w:val="28"/>
          <w:szCs w:val="32"/>
        </w:rPr>
        <w:lastRenderedPageBreak/>
        <w:t>技术与产品的市场应用前景等方面，如有需要可委托第三方专业机构进行综合评价。</w:t>
      </w:r>
    </w:p>
    <w:p w14:paraId="327F1F91"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（三）专家评审</w:t>
      </w:r>
    </w:p>
    <w:p w14:paraId="360D9AA6"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研究院根据申报团队的研究方向和产业技术领域，组织评审专家组（成员有高校专家、企业专家、创业人才等，一般不少于3名），采用函评或现场答辩的方式对入驻团队进行评审，重点考察团队的科技创新能力、关键技术成熟度、产品市场前景、市场落地性、成果转化经验、团队配置、预期产出、资源整合等综合能力，形成院内评审意见。</w:t>
      </w:r>
    </w:p>
    <w:p w14:paraId="42F29BA9"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（四）院长办公会审批</w:t>
      </w:r>
    </w:p>
    <w:p w14:paraId="704A7590"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研究院院长办公会依据专家评审意见，对团队入驻资格进行最终审批，并明确入驻团队类型、支持经费和资源配置等。</w:t>
      </w:r>
    </w:p>
    <w:p w14:paraId="738D06FA"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（五）双方签署入驻协议</w:t>
      </w:r>
    </w:p>
    <w:p w14:paraId="4821E76A"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经审批通过后，研究院与入驻团队签署入驻协议，协议中应明确团队名称、负责人、骨干成员、入驻期限及中长期规划、任务目标（包括攻关技术、项目成果、知识产权、成果转化、人才培养等）、成果归属与分配机制、支持方式与义务责任、退出与终止条款、协议有效期等事项。签约完成后，科研团队正式入驻智库平台。</w:t>
      </w:r>
    </w:p>
    <w:p w14:paraId="785A7FF8" w14:textId="77777777" w:rsidR="000552EC" w:rsidRDefault="00000000">
      <w:pPr>
        <w:jc w:val="center"/>
        <w:rPr>
          <w:rFonts w:ascii="仿宋" w:eastAsia="仿宋" w:hAnsi="仿宋" w:hint="eastAsia"/>
          <w:b/>
          <w:bCs/>
          <w:sz w:val="28"/>
          <w:szCs w:val="32"/>
        </w:rPr>
      </w:pPr>
      <w:r>
        <w:rPr>
          <w:rFonts w:ascii="仿宋" w:eastAsia="仿宋" w:hAnsi="仿宋" w:hint="eastAsia"/>
          <w:b/>
          <w:bCs/>
          <w:sz w:val="28"/>
          <w:szCs w:val="32"/>
        </w:rPr>
        <w:t>第四章 入驻科研团队管理</w:t>
      </w:r>
    </w:p>
    <w:p w14:paraId="009C3DBB" w14:textId="77777777" w:rsidR="000552EC" w:rsidRDefault="00000000">
      <w:pPr>
        <w:rPr>
          <w:rFonts w:ascii="仿宋" w:eastAsia="仿宋" w:hAnsi="仿宋" w:hint="eastAsia"/>
          <w:sz w:val="28"/>
          <w:szCs w:val="32"/>
        </w:rPr>
      </w:pPr>
      <w:r>
        <w:rPr>
          <w:rFonts w:ascii="仿宋" w:eastAsia="仿宋" w:hAnsi="仿宋" w:hint="eastAsia"/>
          <w:sz w:val="28"/>
          <w:szCs w:val="32"/>
        </w:rPr>
        <w:t>第六条 目标管理</w:t>
      </w:r>
    </w:p>
    <w:p w14:paraId="66CD539B"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科研团队入驻研究院智库平台后，</w:t>
      </w:r>
      <w:r>
        <w:rPr>
          <w:rFonts w:ascii="仿宋" w:eastAsia="仿宋" w:hAnsi="仿宋" w:hint="eastAsia"/>
          <w:sz w:val="28"/>
          <w:szCs w:val="28"/>
        </w:rPr>
        <w:t>可</w:t>
      </w:r>
      <w:bookmarkStart w:id="5" w:name="OLE_LINK1"/>
      <w:r>
        <w:rPr>
          <w:rFonts w:ascii="仿宋" w:eastAsia="仿宋" w:hAnsi="仿宋" w:hint="eastAsia"/>
          <w:sz w:val="28"/>
          <w:szCs w:val="28"/>
        </w:rPr>
        <w:t>自主申报或受邀参加研究院的项目指南编写或项目立项</w:t>
      </w:r>
      <w:bookmarkEnd w:id="5"/>
      <w:r>
        <w:rPr>
          <w:rFonts w:ascii="仿宋" w:eastAsia="仿宋" w:hAnsi="仿宋" w:hint="eastAsia"/>
          <w:sz w:val="28"/>
          <w:szCs w:val="32"/>
        </w:rPr>
        <w:t>。其中，学术型团队的目标制定要以</w:t>
      </w:r>
      <w:r>
        <w:rPr>
          <w:rFonts w:ascii="仿宋" w:eastAsia="仿宋" w:hAnsi="仿宋" w:hint="eastAsia"/>
          <w:sz w:val="28"/>
          <w:szCs w:val="32"/>
        </w:rPr>
        <w:lastRenderedPageBreak/>
        <w:t>石家庄主导产业和战略性新兴产业等重点资助领域为导向，围绕突破关键共性攻关技术、产业市场需求、企业“卡脖子”难题等深度科研合作为核心，以产学研深度融合、协同创新的根本任务,满足市场需求和引领产业升级；产业型团队的目标制定要围绕区域主导产业与战略性新兴产业，以实现科研成果的工程化与产业化转化为导向，聚焦关键技术产业落地、产品规模化生产、应用市场推广为重点，推动科技成果向现实生产力高效转化，支撑石家庄地区产业链高端化、智能化、绿色化发展。</w:t>
      </w:r>
    </w:p>
    <w:p w14:paraId="1787642F"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第七条 科研团队成员管理</w:t>
      </w:r>
    </w:p>
    <w:p w14:paraId="1206212E"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团队核心成员原则上每年安排人均不少于8个月的时间在研究院开展相关工作，积极参与科研攻关、技术研发、项目申报、技术成果转化及产业化、专业硕/博研究生联合培养、市场开发、业务洽谈等重要任务。团队须安排至少1名骨干人员或研究助理常驻研究院，专责推进团队事务，保障团队工作持续有序开展。</w:t>
      </w:r>
    </w:p>
    <w:p w14:paraId="0BB1D824"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科研团队应保持核心成员结构的稳定，确保团队整体运行的连续性。若团队核心成员发生变动，应提前向研究院科研项目部提交书面申请，及时完成备案。若涉及团队负责人变更，须按程序报院长办公会审批。</w:t>
      </w:r>
    </w:p>
    <w:p w14:paraId="19ABED25"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第八条 协议变更管理</w:t>
      </w:r>
    </w:p>
    <w:p w14:paraId="0A651DC7"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科研团队在入驻协议期限内，原则上不得变更入驻协议内容。确因团队发展、任务调整或合作需求等原因需变更协议条款的，团队应提出书面变更申请，经科研项目部初审、分管院领导审核，并</w:t>
      </w:r>
      <w:r>
        <w:rPr>
          <w:rFonts w:ascii="仿宋" w:eastAsia="仿宋" w:hAnsi="仿宋" w:hint="eastAsia"/>
          <w:sz w:val="28"/>
          <w:szCs w:val="32"/>
        </w:rPr>
        <w:lastRenderedPageBreak/>
        <w:t>提交院长办公会审议通过后，方可办理协议变更手续。变更事项应在相关管理台账中备案，并同步更新协议文本。</w:t>
      </w:r>
    </w:p>
    <w:p w14:paraId="0EB5A726"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第九条 科研成果分配管理</w:t>
      </w:r>
    </w:p>
    <w:p w14:paraId="786056E2"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科研团队成员之间、研究院与各单位之间应</w:t>
      </w:r>
      <w:r>
        <w:rPr>
          <w:rFonts w:ascii="仿宋" w:eastAsia="仿宋" w:hAnsi="仿宋"/>
          <w:sz w:val="28"/>
          <w:szCs w:val="32"/>
        </w:rPr>
        <w:t>在开展研究工作前</w:t>
      </w:r>
      <w:r>
        <w:rPr>
          <w:rFonts w:ascii="仿宋" w:eastAsia="仿宋" w:hAnsi="仿宋" w:hint="eastAsia"/>
          <w:sz w:val="28"/>
          <w:szCs w:val="32"/>
        </w:rPr>
        <w:t>，就创新成果的署名权、使用权、处置方式、收益分配等事项充分协商，达成一致意见，必要时应以书面协议形式予以明确。由团队所在学校和研究院共有的科技成果产生的论文、著作和奖项，由学校和异地科研机构共有。</w:t>
      </w:r>
    </w:p>
    <w:p w14:paraId="0CD0E4EF"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团队在研究院内形成的知识产权，可通过许可、转让、作价入股等方式进行成果转化，</w:t>
      </w:r>
      <w:r>
        <w:rPr>
          <w:rFonts w:ascii="仿宋" w:eastAsia="仿宋" w:hAnsi="仿宋"/>
          <w:sz w:val="28"/>
          <w:szCs w:val="32"/>
        </w:rPr>
        <w:t>科技成果完成人</w:t>
      </w:r>
      <w:r>
        <w:rPr>
          <w:rFonts w:ascii="仿宋" w:eastAsia="仿宋" w:hAnsi="仿宋" w:hint="eastAsia"/>
          <w:sz w:val="28"/>
          <w:szCs w:val="32"/>
        </w:rPr>
        <w:t>和</w:t>
      </w:r>
      <w:r>
        <w:rPr>
          <w:rFonts w:ascii="仿宋" w:eastAsia="仿宋" w:hAnsi="仿宋"/>
          <w:sz w:val="28"/>
          <w:szCs w:val="32"/>
        </w:rPr>
        <w:t>对转化科技成果做出重要贡献的人员</w:t>
      </w:r>
      <w:r>
        <w:rPr>
          <w:rFonts w:ascii="仿宋" w:eastAsia="仿宋" w:hAnsi="仿宋" w:hint="eastAsia"/>
          <w:sz w:val="28"/>
          <w:szCs w:val="32"/>
        </w:rPr>
        <w:t>、</w:t>
      </w:r>
      <w:r>
        <w:rPr>
          <w:rFonts w:ascii="仿宋" w:eastAsia="仿宋" w:hAnsi="仿宋"/>
          <w:sz w:val="28"/>
          <w:szCs w:val="32"/>
        </w:rPr>
        <w:t>学校</w:t>
      </w:r>
      <w:r>
        <w:rPr>
          <w:rFonts w:ascii="仿宋" w:eastAsia="仿宋" w:hAnsi="仿宋" w:hint="eastAsia"/>
          <w:sz w:val="28"/>
          <w:szCs w:val="32"/>
        </w:rPr>
        <w:t>、研究院三方收益分配，应按研究院成果转化等相关管理规定执行，具体分配比例一事一议，确保分配方案合法、合规、公开、透明。</w:t>
      </w:r>
    </w:p>
    <w:p w14:paraId="528B484A"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第十条 研究院部门职责管理</w:t>
      </w:r>
    </w:p>
    <w:p w14:paraId="4ED80A42"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研究院各部门应根据分工协同配合、履职尽责，共同保障科研团队高效运行与成果产出。</w:t>
      </w:r>
    </w:p>
    <w:p w14:paraId="2D903CD8"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项目部牵头负责科研团队引进、运行、评价、续约、转化、终止的流程及管理工作，组织制定科研团队年度引进计划、申报条件、评审标准、续签，统筹解决团队运行中出现的各项难题；负责团队的项目立项，开展科研项目组织、推进实施、结题验收、成果申报与奖励等；负责团队知识产权的申请、确权、管理与运用。</w:t>
      </w:r>
    </w:p>
    <w:p w14:paraId="5984A4A9"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成果推广部牵头负责与企业和产业对接，对外科技合作及联合</w:t>
      </w:r>
      <w:r>
        <w:rPr>
          <w:rFonts w:ascii="仿宋" w:eastAsia="仿宋" w:hAnsi="仿宋" w:hint="eastAsia"/>
          <w:sz w:val="28"/>
          <w:szCs w:val="32"/>
        </w:rPr>
        <w:lastRenderedPageBreak/>
        <w:t>攻关机制建设，协调相关资源推进团队科研成果转化和产业化落地；牵头推进科技成果的评估、许可、转让、作价入股等转化工作，制定成果转化支持政策和实施路径。</w:t>
      </w:r>
    </w:p>
    <w:p w14:paraId="6F99796B"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综合财务部负责团队使用的公共资源管理与协调，统筹采购流程与固定资产管理，承担党建、法务支持、宣传策划、办公环境、安全保障等综合事务服务；</w:t>
      </w:r>
      <w:r>
        <w:rPr>
          <w:rFonts w:ascii="仿宋" w:eastAsia="仿宋" w:hAnsi="仿宋"/>
          <w:sz w:val="28"/>
          <w:szCs w:val="32"/>
        </w:rPr>
        <w:t>负责团队人员管理，包括</w:t>
      </w:r>
      <w:r>
        <w:rPr>
          <w:rFonts w:ascii="仿宋" w:eastAsia="仿宋" w:hAnsi="仿宋" w:hint="eastAsia"/>
          <w:sz w:val="28"/>
          <w:szCs w:val="32"/>
        </w:rPr>
        <w:t>聘用管理、人才计划、硕博研究生、职业发展、激励保障等工作；负责团队科研项目经费预算编制、预算执行监管、财务报销和审计检查等工作，确保科研资金的规范使用和台账管理；</w:t>
      </w:r>
      <w:r>
        <w:rPr>
          <w:rFonts w:ascii="仿宋" w:eastAsia="仿宋" w:hAnsi="仿宋"/>
          <w:sz w:val="28"/>
          <w:szCs w:val="32"/>
        </w:rPr>
        <w:t>积极配合</w:t>
      </w:r>
      <w:r>
        <w:rPr>
          <w:rFonts w:ascii="仿宋" w:eastAsia="仿宋" w:hAnsi="仿宋" w:hint="eastAsia"/>
          <w:sz w:val="28"/>
          <w:szCs w:val="32"/>
        </w:rPr>
        <w:t>科研</w:t>
      </w:r>
      <w:r>
        <w:rPr>
          <w:rFonts w:ascii="仿宋" w:eastAsia="仿宋" w:hAnsi="仿宋"/>
          <w:sz w:val="28"/>
          <w:szCs w:val="32"/>
        </w:rPr>
        <w:t>团队运行中的保障、服务与监管工作，确保研究任务顺利实施。</w:t>
      </w:r>
    </w:p>
    <w:p w14:paraId="462B749D" w14:textId="77777777" w:rsidR="000552EC" w:rsidRDefault="00000000">
      <w:pPr>
        <w:jc w:val="center"/>
        <w:rPr>
          <w:rFonts w:ascii="仿宋" w:eastAsia="仿宋" w:hAnsi="仿宋" w:hint="eastAsia"/>
          <w:b/>
          <w:bCs/>
          <w:sz w:val="28"/>
          <w:szCs w:val="32"/>
        </w:rPr>
      </w:pPr>
      <w:r>
        <w:rPr>
          <w:rFonts w:ascii="仿宋" w:eastAsia="仿宋" w:hAnsi="仿宋" w:hint="eastAsia"/>
          <w:b/>
          <w:bCs/>
          <w:sz w:val="28"/>
          <w:szCs w:val="32"/>
        </w:rPr>
        <w:t>第五章 入驻科研团队经费支出</w:t>
      </w:r>
    </w:p>
    <w:p w14:paraId="3F13AC57"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第十一条 入驻科研团队项目申报及经费来源</w:t>
      </w:r>
    </w:p>
    <w:p w14:paraId="5DDC1E92"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入驻科研团队在研究院可申请纵向科研项目、横向科研项目和院内科研项目，其中院内科研项目的支持经费来源是研究院建设专项“石家庄市·中国地质大学（北京）和河北地质大学科技合作专项经费”，具体可参照《中国地质大学（北京）·石家庄创新研究院科研项目管理办法》执行。</w:t>
      </w:r>
    </w:p>
    <w:p w14:paraId="70C74A16"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第十二条 科研经费使用原则</w:t>
      </w:r>
    </w:p>
    <w:p w14:paraId="26BD9AFF"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科研团队经费使用应遵循“专款专用、预算管理、绩效导向、依法合规”的原则，具体如下：</w:t>
      </w:r>
    </w:p>
    <w:p w14:paraId="70F1A05D"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（一）合规使用。严格按照研究院的财务规章制度，依据经费预算执行，专款专用，经费不得截留、挤占、挪用或变相使用，主</w:t>
      </w:r>
      <w:r>
        <w:rPr>
          <w:rFonts w:ascii="仿宋" w:eastAsia="仿宋" w:hAnsi="仿宋" w:hint="eastAsia"/>
          <w:sz w:val="28"/>
          <w:szCs w:val="32"/>
        </w:rPr>
        <w:lastRenderedPageBreak/>
        <w:t>动接受学校或研究院财务审计及监督检查。</w:t>
      </w:r>
    </w:p>
    <w:p w14:paraId="3F7FC49E"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（二）目标导向。经费用于入驻研究院所签署协议中明确的科研任务、技术攻关、成果转化及团队建设等事项，严格对应项目目标、任务节点与经费预算编制内容，合理使用经费。</w:t>
      </w:r>
    </w:p>
    <w:p w14:paraId="623175DF"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（三）绩效激励。鼓励经费管理的自主化和效率化，支持经费拨付进度与绩效评价直接挂钩，激励科研团队产出高水平成果，提高资金使用效益。</w:t>
      </w:r>
    </w:p>
    <w:p w14:paraId="22DBA91A"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第十三条 经费管理职责</w:t>
      </w:r>
    </w:p>
    <w:p w14:paraId="26794A91"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研究院相关职能部门分工协作，实行全过程的科研经费管理服务与监督。科研项目部</w:t>
      </w:r>
      <w:r>
        <w:rPr>
          <w:rFonts w:ascii="仿宋" w:eastAsia="仿宋" w:hAnsi="仿宋"/>
          <w:sz w:val="28"/>
          <w:szCs w:val="32"/>
        </w:rPr>
        <w:t>指导项目任务执行与预算编制，督促绩效目标完成</w:t>
      </w:r>
      <w:r>
        <w:rPr>
          <w:rFonts w:ascii="仿宋" w:eastAsia="仿宋" w:hAnsi="仿宋" w:hint="eastAsia"/>
          <w:sz w:val="28"/>
          <w:szCs w:val="32"/>
        </w:rPr>
        <w:t>；综合财务部</w:t>
      </w:r>
      <w:r>
        <w:rPr>
          <w:rFonts w:ascii="仿宋" w:eastAsia="仿宋" w:hAnsi="仿宋"/>
          <w:sz w:val="28"/>
          <w:szCs w:val="32"/>
        </w:rPr>
        <w:t>负责经费预算审核、拨付监管、财务验收与</w:t>
      </w:r>
      <w:r>
        <w:rPr>
          <w:rFonts w:ascii="仿宋" w:eastAsia="仿宋" w:hAnsi="仿宋" w:hint="eastAsia"/>
          <w:sz w:val="28"/>
          <w:szCs w:val="32"/>
        </w:rPr>
        <w:t>决算</w:t>
      </w:r>
      <w:r>
        <w:rPr>
          <w:rFonts w:ascii="仿宋" w:eastAsia="仿宋" w:hAnsi="仿宋"/>
          <w:sz w:val="28"/>
          <w:szCs w:val="32"/>
        </w:rPr>
        <w:t>工作，参与全流程资金审计</w:t>
      </w:r>
      <w:r>
        <w:rPr>
          <w:rFonts w:ascii="仿宋" w:eastAsia="仿宋" w:hAnsi="仿宋" w:hint="eastAsia"/>
          <w:sz w:val="28"/>
          <w:szCs w:val="32"/>
        </w:rPr>
        <w:t>；指导、监督项目负责人依据任务书（或合同）约定，规范合理使用科研经费；配合上级财务主管部门对科研经费的检查与审计等，做好经费全过程管理和监督工作。科研团队负责人为经费使用的第一责任人，确保经费使用合规、合理、高效。</w:t>
      </w:r>
    </w:p>
    <w:p w14:paraId="32F518CD" w14:textId="77777777" w:rsidR="000552EC" w:rsidRDefault="00000000">
      <w:pPr>
        <w:jc w:val="center"/>
        <w:rPr>
          <w:rFonts w:ascii="仿宋" w:eastAsia="仿宋" w:hAnsi="仿宋" w:hint="eastAsia"/>
          <w:b/>
          <w:bCs/>
          <w:sz w:val="28"/>
          <w:szCs w:val="32"/>
        </w:rPr>
      </w:pPr>
      <w:r>
        <w:rPr>
          <w:rFonts w:ascii="仿宋" w:eastAsia="仿宋" w:hAnsi="仿宋" w:hint="eastAsia"/>
          <w:b/>
          <w:bCs/>
          <w:sz w:val="28"/>
          <w:szCs w:val="32"/>
        </w:rPr>
        <w:t>第六章 入驻科研团队考核与激励</w:t>
      </w:r>
    </w:p>
    <w:p w14:paraId="7B408617"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第十四条 科研团队绩效考核机制</w:t>
      </w:r>
    </w:p>
    <w:p w14:paraId="24E36E0A"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为加强对入驻科研团队管理，研究院建立以“项目为王、绩效核心、分类评价、激励引导”为原则的考核机制，考核分为半年评价、年度考核和聘期考核三个阶段。</w:t>
      </w:r>
    </w:p>
    <w:p w14:paraId="6026E08B"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（一）绩效考核机制。科研项目部牵头，联合各职能部门，建</w:t>
      </w:r>
      <w:r>
        <w:rPr>
          <w:rFonts w:ascii="仿宋" w:eastAsia="仿宋" w:hAnsi="仿宋" w:hint="eastAsia"/>
          <w:sz w:val="28"/>
          <w:szCs w:val="32"/>
        </w:rPr>
        <w:lastRenderedPageBreak/>
        <w:t>立包含人才队伍、科研项目、科技创新、产业发展、内部建设、资金管理或团队任务目标、人员队伍、财务状况、产品化进展、知识产权、市场推广、投融资进度等多维模块的多元指标体系，对团队运行工作实行动态权重调整和差异化考核：①任务履约类：目标任务完成率、阶段成果完成度；②科技创新类：论文专利、高水平成果、项目申报、技术突破、企业评价反馈等；③产业转化类：成果转化、产品开发、投融资对接、市场化进展等。</w:t>
      </w:r>
    </w:p>
    <w:p w14:paraId="44D83186"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二）半年评价。科研项目部牵头制定并完善半年运行报告模板，科研团队提供基础数据信息，科研项目部适时开展实地考察，了解团队研究成果和产业化进度，汇总并分析相关数据撰写团队半年运行报告，为年度考核提供重要依据。</w:t>
      </w:r>
    </w:p>
    <w:p w14:paraId="16ECEA66"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三）年度考核。年终前由科研项目部牵头，组织对照团队年度工作计划，撰写团队年度运行报告，系统总结团队全年工作进展与成效，上报分管院领导；组织召开团队年终考核交流会，团队负责人汇报团队年度运行情况，由参会专家（有高校专家、企业专家、创业人才等，不超过3人）、院领导和部门负责人作为年度评价组，进行现场综合评审，考核结果分为优秀、合格和不合格三个等级，</w:t>
      </w:r>
      <w:r>
        <w:rPr>
          <w:rFonts w:ascii="仿宋" w:eastAsia="仿宋" w:hAnsi="仿宋"/>
          <w:sz w:val="28"/>
          <w:szCs w:val="32"/>
        </w:rPr>
        <w:t>形成书面评审意见，</w:t>
      </w:r>
      <w:r>
        <w:rPr>
          <w:rFonts w:ascii="仿宋" w:eastAsia="仿宋" w:hAnsi="仿宋" w:hint="eastAsia"/>
          <w:sz w:val="28"/>
          <w:szCs w:val="32"/>
        </w:rPr>
        <w:t>并对科研团队提出意见及改进建议。</w:t>
      </w:r>
    </w:p>
    <w:p w14:paraId="19E90E6B"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四）聘期考核。科研项目部牵头，组织成立聘期考核专家组，成员包括参会专家（有高校专家、企业专家、创业人才等，不超过5人）、院领导及部门负责人，严格按照协议和研究任务目标，以绩效评价为核心，</w:t>
      </w:r>
      <w:r>
        <w:rPr>
          <w:rFonts w:ascii="仿宋" w:eastAsia="仿宋" w:hAnsi="仿宋"/>
          <w:sz w:val="28"/>
          <w:szCs w:val="32"/>
        </w:rPr>
        <w:t>采用定量与定性相结合的方式进行综合评估，重点</w:t>
      </w:r>
      <w:r>
        <w:rPr>
          <w:rFonts w:ascii="仿宋" w:eastAsia="仿宋" w:hAnsi="仿宋"/>
          <w:sz w:val="28"/>
          <w:szCs w:val="32"/>
        </w:rPr>
        <w:lastRenderedPageBreak/>
        <w:t>评价团队在聘期内的任务完成情况、科技产出质量、产业化绩效、人才成长等；</w:t>
      </w:r>
      <w:r>
        <w:rPr>
          <w:rFonts w:ascii="仿宋" w:eastAsia="仿宋" w:hAnsi="仿宋" w:hint="eastAsia"/>
          <w:sz w:val="28"/>
          <w:szCs w:val="32"/>
        </w:rPr>
        <w:t>考核结果分为优秀、合格和不合格三个等级，结果报院长办公会审批并备案，作为团队续聘、后续支持经费拨付、资源配置等决策的重要依据。</w:t>
      </w:r>
    </w:p>
    <w:p w14:paraId="1E2A8517"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第十五条 考核组织管理</w:t>
      </w:r>
    </w:p>
    <w:p w14:paraId="5737E9CC"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研究院根据阶段性重点任务，自行组织年度评价组或聘期考核组对项目研究团队进行考核评价。对重点团队、特殊任务团队或疑难问题团队可进行专项评估，实行“一事一议”与“差异考核”相结合，确保绩效考核科学、精准、有效。</w:t>
      </w:r>
    </w:p>
    <w:p w14:paraId="43DEDF3E"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第十六条 团队激励机制</w:t>
      </w:r>
    </w:p>
    <w:p w14:paraId="58272DF4" w14:textId="77777777" w:rsidR="000552EC" w:rsidRDefault="00000000">
      <w:pPr>
        <w:ind w:firstLineChars="200" w:firstLine="560"/>
        <w:rPr>
          <w:rFonts w:ascii="仿宋" w:eastAsia="仿宋" w:hAnsi="仿宋" w:hint="eastAsia"/>
          <w:sz w:val="28"/>
          <w:szCs w:val="32"/>
        </w:rPr>
      </w:pPr>
      <w:r>
        <w:rPr>
          <w:rFonts w:ascii="仿宋" w:eastAsia="仿宋" w:hAnsi="仿宋"/>
          <w:sz w:val="28"/>
          <w:szCs w:val="32"/>
        </w:rPr>
        <w:t>对在关键技术突破、高水平成果产出、重大项目承担、产业化推进等方面表现突出的团队及个人，</w:t>
      </w:r>
      <w:r>
        <w:rPr>
          <w:rFonts w:ascii="仿宋" w:eastAsia="仿宋" w:hAnsi="仿宋" w:hint="eastAsia"/>
          <w:sz w:val="28"/>
          <w:szCs w:val="32"/>
        </w:rPr>
        <w:t>研究院及时予以绩效奖金、奖励补助、政策支持，并积极争取更多政府、市场支持资源。</w:t>
      </w:r>
    </w:p>
    <w:p w14:paraId="43E8131E"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研究院支持团队建立健全内部成果收益分配机制，鼓励将科技成果通过许可、转让、作价入股等方式实现价值转化。研究院设立成果转化专项配套资金，给予启动支持或成果孵化应急周转资金扶持计划。</w:t>
      </w:r>
    </w:p>
    <w:p w14:paraId="26B0BB5E"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研究院为优秀团队提供个性化综合支持，协助申报各类科技计划、人才工程、奖励申报，提供项目宣传、商业路演、成果推介活动，争取投融资对接平台、贷款等，推动科研成果社会化传播和产业化应用落地，开展政策辅导与专利事务支持，提升团队品牌影响力与市场竞争力，进一步激发创新活力。</w:t>
      </w:r>
    </w:p>
    <w:p w14:paraId="51BA8053" w14:textId="77777777" w:rsidR="000552EC" w:rsidRDefault="00000000">
      <w:pPr>
        <w:jc w:val="center"/>
        <w:rPr>
          <w:rFonts w:ascii="仿宋" w:eastAsia="仿宋" w:hAnsi="仿宋" w:hint="eastAsia"/>
          <w:b/>
          <w:bCs/>
          <w:sz w:val="28"/>
          <w:szCs w:val="32"/>
        </w:rPr>
      </w:pPr>
      <w:r>
        <w:rPr>
          <w:rFonts w:ascii="仿宋" w:eastAsia="仿宋" w:hAnsi="仿宋" w:hint="eastAsia"/>
          <w:b/>
          <w:bCs/>
          <w:sz w:val="28"/>
          <w:szCs w:val="32"/>
        </w:rPr>
        <w:lastRenderedPageBreak/>
        <w:t>第七章 入住科研团队续约和终止</w:t>
      </w:r>
    </w:p>
    <w:p w14:paraId="69759CCB"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第十七条 团队续约</w:t>
      </w:r>
    </w:p>
    <w:p w14:paraId="600D1985"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符合以下全部条件的科研团队，可申请进入下一轮入驻周期：</w:t>
      </w:r>
    </w:p>
    <w:p w14:paraId="57B01FC1"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（一）协议履约良好。完成上一期协议所规定的任务目标，团队运行平稳，具备持续稳定运行能力或实现阶段性自负盈亏；</w:t>
      </w:r>
    </w:p>
    <w:p w14:paraId="1ABF0B94"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（二）符合引进标准。团队结构、方向与研究院发展定位相契合，具备持续支撑重大科技任务或产业转化的能力；</w:t>
      </w:r>
    </w:p>
    <w:p w14:paraId="3AAD0ADA"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（三）成果可持续性强。技术研发具备可持续迭代能力，成果具有良好的经济效益、社会效益或产业转化潜力，团队成员有意愿持续深耕研究院平台开展创新研发。</w:t>
      </w:r>
    </w:p>
    <w:p w14:paraId="5A9D949F"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入驻科研团队应当在协议期满前1个月提出书面续约申请，由科研项目部牵头组织评估，重点审查团队上一期协议任务目标完成情况、科技成果产出质量、技术研发成果、技术产业化进展与市场表现、人才队伍与产品市场效益、经费使用和自筹企业匹配资金能力等情况，根据评估结果拟定续约建议方案，经院领导审批后报院长办公会审议。通过院长办公会审议通过后，双方续签新一期协议。</w:t>
      </w:r>
    </w:p>
    <w:p w14:paraId="6A5B6D7A"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第十八条 团队运行预警机制</w:t>
      </w:r>
    </w:p>
    <w:p w14:paraId="5083D9BB"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团队的运行期限按照研究院入驻协议执行。研究院建立团队运行预警制度，强化对团队周期管理的主动性和风险控制能力。科研项目部负责统筹监测团队运行周期、协议履行进度和成果产出预期，提前3个月对即将到期但尚未申请续约或存在履约风险的团队发出书面预警；综合财务部</w:t>
      </w:r>
      <w:r>
        <w:rPr>
          <w:rFonts w:ascii="仿宋" w:eastAsia="仿宋" w:hAnsi="仿宋"/>
          <w:sz w:val="28"/>
          <w:szCs w:val="32"/>
        </w:rPr>
        <w:t>负责监控团队经费执行与资金平衡状</w:t>
      </w:r>
      <w:r>
        <w:rPr>
          <w:rFonts w:ascii="仿宋" w:eastAsia="仿宋" w:hAnsi="仿宋"/>
          <w:sz w:val="28"/>
          <w:szCs w:val="32"/>
        </w:rPr>
        <w:lastRenderedPageBreak/>
        <w:t>况，如发现资金额度不足、经费异常波动等，及时发出经费风险预警并通报</w:t>
      </w:r>
      <w:r>
        <w:rPr>
          <w:rFonts w:ascii="仿宋" w:eastAsia="仿宋" w:hAnsi="仿宋" w:hint="eastAsia"/>
          <w:sz w:val="28"/>
          <w:szCs w:val="32"/>
        </w:rPr>
        <w:t>科研项目部。</w:t>
      </w:r>
    </w:p>
    <w:p w14:paraId="6D44B0CD"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第十九条 团队终止制度</w:t>
      </w:r>
    </w:p>
    <w:p w14:paraId="4362BE34"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科研团队出现以下情况之一的，经评估确认后予以终止：</w:t>
      </w:r>
    </w:p>
    <w:p w14:paraId="3E27B8AB"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（一）协议期满，经协商不再续约；</w:t>
      </w:r>
    </w:p>
    <w:p w14:paraId="14E4418E"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（二）入驻协议履行情况与协议目标严重偏离，经限期整改无明显改善；</w:t>
      </w:r>
    </w:p>
    <w:p w14:paraId="13B3985D"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（三）团队运营已不具备基本条件，包括但不限于可用资金额度低于3个月运行费用、团队核心成员离职等导致工作中断的状况；</w:t>
      </w:r>
    </w:p>
    <w:p w14:paraId="6BE8EEF7"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（四）入驻协议到期，但绩效评估结果为不合格；</w:t>
      </w:r>
    </w:p>
    <w:p w14:paraId="1CA8211C"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（五）因重大管理失误、违规行为或内部矛盾激化，造成研究院声誉、资源或利益损失；</w:t>
      </w:r>
    </w:p>
    <w:p w14:paraId="790AF155"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（六）研究院与团队协商一致终止合作的其他情况。</w:t>
      </w:r>
    </w:p>
    <w:p w14:paraId="52084FF0"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科研项目部牵头各部门梳理团队运行情况并与团队沟通后，起草团队退出报告方案，方案包括但不限于经费结算与财务清理、人员妥善安排、在研项目后续安排与交接、固定资产及公共资源回收、知识产权权属与后续处理等内容。退出报告经院长办公会审议通过后签发正式退出通知文件，退出流程应在规定时限内完成，并形成全过程档案备案。</w:t>
      </w:r>
    </w:p>
    <w:p w14:paraId="1E32F65B" w14:textId="77777777" w:rsidR="000552EC" w:rsidRDefault="00000000">
      <w:pPr>
        <w:jc w:val="center"/>
        <w:rPr>
          <w:rFonts w:ascii="仿宋" w:eastAsia="仿宋" w:hAnsi="仿宋" w:hint="eastAsia"/>
          <w:b/>
          <w:bCs/>
          <w:sz w:val="28"/>
          <w:szCs w:val="32"/>
        </w:rPr>
      </w:pPr>
      <w:r>
        <w:rPr>
          <w:rFonts w:ascii="仿宋" w:eastAsia="仿宋" w:hAnsi="仿宋" w:hint="eastAsia"/>
          <w:b/>
          <w:bCs/>
          <w:sz w:val="28"/>
          <w:szCs w:val="32"/>
        </w:rPr>
        <w:t>第八章 其它及附则</w:t>
      </w:r>
    </w:p>
    <w:p w14:paraId="43C318C3"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第二十条 入驻团队应确保其在申请入驻时提交的申请书、附件材料以及在研究院运营期间提交的所有报告、成果、财务、数据等</w:t>
      </w:r>
      <w:r>
        <w:rPr>
          <w:rFonts w:ascii="仿宋" w:eastAsia="仿宋" w:hAnsi="仿宋" w:hint="eastAsia"/>
          <w:sz w:val="28"/>
          <w:szCs w:val="32"/>
        </w:rPr>
        <w:lastRenderedPageBreak/>
        <w:t>资料真实、准确、完整、合法。若存在弄虚作假、隐瞒信息、伪造内容或与实际情况严重不符的行为，入驻团队须承担因此产生的一切法律后果及研究院依规采取的处理措施，包括但不限于终止合作、追回已拨付经费、取消相关支持资格等。</w:t>
      </w:r>
    </w:p>
    <w:p w14:paraId="5A937239"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第二十一条 入驻团队</w:t>
      </w:r>
      <w:r>
        <w:rPr>
          <w:rFonts w:ascii="仿宋" w:eastAsia="仿宋" w:hAnsi="仿宋"/>
          <w:sz w:val="28"/>
          <w:szCs w:val="32"/>
        </w:rPr>
        <w:t>在</w:t>
      </w:r>
      <w:r>
        <w:rPr>
          <w:rFonts w:ascii="仿宋" w:eastAsia="仿宋" w:hAnsi="仿宋" w:hint="eastAsia"/>
          <w:sz w:val="28"/>
          <w:szCs w:val="32"/>
        </w:rPr>
        <w:t>研究院智库平台</w:t>
      </w:r>
      <w:r>
        <w:rPr>
          <w:rFonts w:ascii="仿宋" w:eastAsia="仿宋" w:hAnsi="仿宋"/>
          <w:sz w:val="28"/>
          <w:szCs w:val="32"/>
        </w:rPr>
        <w:t>期间</w:t>
      </w:r>
      <w:r>
        <w:rPr>
          <w:rFonts w:ascii="仿宋" w:eastAsia="仿宋" w:hAnsi="仿宋" w:hint="eastAsia"/>
          <w:sz w:val="28"/>
          <w:szCs w:val="32"/>
        </w:rPr>
        <w:t>，</w:t>
      </w:r>
      <w:r>
        <w:rPr>
          <w:rFonts w:ascii="仿宋" w:eastAsia="仿宋" w:hAnsi="仿宋"/>
          <w:sz w:val="28"/>
          <w:szCs w:val="32"/>
        </w:rPr>
        <w:t>须严格遵守</w:t>
      </w:r>
      <w:r>
        <w:rPr>
          <w:rFonts w:ascii="仿宋" w:eastAsia="仿宋" w:hAnsi="仿宋" w:hint="eastAsia"/>
          <w:sz w:val="28"/>
          <w:szCs w:val="32"/>
        </w:rPr>
        <w:t>研究院管理体系、规章制度及国家相关法律法规</w:t>
      </w:r>
      <w:r>
        <w:rPr>
          <w:rFonts w:ascii="仿宋" w:eastAsia="仿宋" w:hAnsi="仿宋"/>
          <w:sz w:val="28"/>
          <w:szCs w:val="32"/>
        </w:rPr>
        <w:t>，依法依规开展科研活动、团队管理和对外合作，并自觉接受研究院的监督与指导。</w:t>
      </w:r>
    </w:p>
    <w:p w14:paraId="0D7232CA"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如因入驻团队的原因，发生重大安全事故、法律诉讼，或与第三方产生纠纷，包括但不限于商业、人事、知识产权等纠纷，造成的损失由入驻团队承担，且团队应主动采取积极措施进行弥补。如纠纷情节严重，给研究院名誉造成极大伤害，或造成重大经济损失，研究院有权终止合作、收回资助，并</w:t>
      </w:r>
      <w:r>
        <w:rPr>
          <w:rFonts w:ascii="仿宋" w:eastAsia="仿宋" w:hAnsi="仿宋"/>
          <w:sz w:val="28"/>
          <w:szCs w:val="32"/>
        </w:rPr>
        <w:t>依法追究相关法律责任</w:t>
      </w:r>
      <w:r>
        <w:rPr>
          <w:rFonts w:ascii="仿宋" w:eastAsia="仿宋" w:hAnsi="仿宋" w:hint="eastAsia"/>
          <w:sz w:val="28"/>
          <w:szCs w:val="32"/>
        </w:rPr>
        <w:t>，并报中国地质大学（北京）科技处备案。</w:t>
      </w:r>
    </w:p>
    <w:p w14:paraId="21E55E87"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第二十二条 本办法由研究院会同相关部门负责解释，并根据管理需要及政策变化，适时组织修订，报理事会审议通过后施行。</w:t>
      </w:r>
    </w:p>
    <w:p w14:paraId="36277809" w14:textId="77777777" w:rsidR="000552EC" w:rsidRDefault="00000000">
      <w:pPr>
        <w:ind w:firstLineChars="200" w:firstLine="560"/>
        <w:rPr>
          <w:rFonts w:ascii="仿宋" w:eastAsia="仿宋" w:hAnsi="仿宋" w:hint="eastAsia"/>
          <w:sz w:val="28"/>
          <w:szCs w:val="32"/>
        </w:rPr>
      </w:pPr>
      <w:r>
        <w:rPr>
          <w:rFonts w:ascii="仿宋" w:eastAsia="仿宋" w:hAnsi="仿宋" w:hint="eastAsia"/>
          <w:sz w:val="28"/>
          <w:szCs w:val="32"/>
        </w:rPr>
        <w:t>第二十三条 本办法由理事会审议批准通过后，报中国地质大学（北京）异地科研机构工作领导小组审核之日起实行，并报中国地质大学（北京）科技处备案。如</w:t>
      </w:r>
      <w:r>
        <w:rPr>
          <w:rFonts w:ascii="仿宋" w:eastAsia="仿宋" w:hAnsi="仿宋"/>
          <w:sz w:val="28"/>
          <w:szCs w:val="32"/>
        </w:rPr>
        <w:t>有相关制度不一致</w:t>
      </w:r>
      <w:r>
        <w:rPr>
          <w:rFonts w:ascii="仿宋" w:eastAsia="仿宋" w:hAnsi="仿宋" w:hint="eastAsia"/>
          <w:sz w:val="28"/>
          <w:szCs w:val="32"/>
        </w:rPr>
        <w:t>的情况</w:t>
      </w:r>
      <w:r>
        <w:rPr>
          <w:rFonts w:ascii="仿宋" w:eastAsia="仿宋" w:hAnsi="仿宋"/>
          <w:sz w:val="28"/>
          <w:szCs w:val="32"/>
        </w:rPr>
        <w:t>，以本办法为准</w:t>
      </w:r>
      <w:r>
        <w:rPr>
          <w:rFonts w:ascii="仿宋" w:eastAsia="仿宋" w:hAnsi="仿宋" w:hint="eastAsia"/>
          <w:sz w:val="28"/>
          <w:szCs w:val="32"/>
        </w:rPr>
        <w:t>。实行</w:t>
      </w:r>
      <w:r>
        <w:rPr>
          <w:rFonts w:ascii="仿宋" w:eastAsia="仿宋" w:hAnsi="仿宋"/>
          <w:sz w:val="28"/>
          <w:szCs w:val="32"/>
        </w:rPr>
        <w:t>期间如遇特殊情况，可由</w:t>
      </w:r>
      <w:r>
        <w:rPr>
          <w:rFonts w:ascii="仿宋" w:eastAsia="仿宋" w:hAnsi="仿宋" w:hint="eastAsia"/>
          <w:sz w:val="28"/>
          <w:szCs w:val="32"/>
        </w:rPr>
        <w:t>科研项目部</w:t>
      </w:r>
      <w:r>
        <w:rPr>
          <w:rFonts w:ascii="仿宋" w:eastAsia="仿宋" w:hAnsi="仿宋"/>
          <w:sz w:val="28"/>
          <w:szCs w:val="32"/>
        </w:rPr>
        <w:t>提出临时调整建议，报院领导</w:t>
      </w:r>
      <w:r>
        <w:rPr>
          <w:rFonts w:ascii="仿宋" w:eastAsia="仿宋" w:hAnsi="仿宋" w:hint="eastAsia"/>
          <w:sz w:val="28"/>
          <w:szCs w:val="32"/>
        </w:rPr>
        <w:t>和院长办公会</w:t>
      </w:r>
      <w:r>
        <w:rPr>
          <w:rFonts w:ascii="仿宋" w:eastAsia="仿宋" w:hAnsi="仿宋"/>
          <w:sz w:val="28"/>
          <w:szCs w:val="32"/>
        </w:rPr>
        <w:t>批准后执行。</w:t>
      </w:r>
    </w:p>
    <w:sectPr w:rsidR="000552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EC4E" w14:textId="77777777" w:rsidR="009639BD" w:rsidRDefault="009639BD" w:rsidP="00983198">
      <w:pPr>
        <w:rPr>
          <w:rFonts w:hint="eastAsia"/>
        </w:rPr>
      </w:pPr>
      <w:r>
        <w:separator/>
      </w:r>
    </w:p>
  </w:endnote>
  <w:endnote w:type="continuationSeparator" w:id="0">
    <w:p w14:paraId="78289B81" w14:textId="77777777" w:rsidR="009639BD" w:rsidRDefault="009639BD" w:rsidP="0098319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6E59" w14:textId="77777777" w:rsidR="009639BD" w:rsidRDefault="009639BD" w:rsidP="00983198">
      <w:pPr>
        <w:rPr>
          <w:rFonts w:hint="eastAsia"/>
        </w:rPr>
      </w:pPr>
      <w:r>
        <w:separator/>
      </w:r>
    </w:p>
  </w:footnote>
  <w:footnote w:type="continuationSeparator" w:id="0">
    <w:p w14:paraId="5CB42C46" w14:textId="77777777" w:rsidR="009639BD" w:rsidRDefault="009639BD" w:rsidP="0098319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C3"/>
    <w:rsid w:val="00017787"/>
    <w:rsid w:val="00023519"/>
    <w:rsid w:val="00032229"/>
    <w:rsid w:val="000402A0"/>
    <w:rsid w:val="00052058"/>
    <w:rsid w:val="000552EC"/>
    <w:rsid w:val="00070AC8"/>
    <w:rsid w:val="00084631"/>
    <w:rsid w:val="000A2AE9"/>
    <w:rsid w:val="000D1B9A"/>
    <w:rsid w:val="000E689F"/>
    <w:rsid w:val="000F44D1"/>
    <w:rsid w:val="00100D21"/>
    <w:rsid w:val="001053DD"/>
    <w:rsid w:val="001273AA"/>
    <w:rsid w:val="0013234D"/>
    <w:rsid w:val="001A52E3"/>
    <w:rsid w:val="001F0B2D"/>
    <w:rsid w:val="001F25BE"/>
    <w:rsid w:val="0021567C"/>
    <w:rsid w:val="00216BBA"/>
    <w:rsid w:val="00262759"/>
    <w:rsid w:val="002818E2"/>
    <w:rsid w:val="00284917"/>
    <w:rsid w:val="002D6A05"/>
    <w:rsid w:val="002E04B5"/>
    <w:rsid w:val="002E1CEA"/>
    <w:rsid w:val="002F1445"/>
    <w:rsid w:val="003023B9"/>
    <w:rsid w:val="003044F2"/>
    <w:rsid w:val="00311E72"/>
    <w:rsid w:val="00332A5B"/>
    <w:rsid w:val="00357714"/>
    <w:rsid w:val="00367244"/>
    <w:rsid w:val="00384989"/>
    <w:rsid w:val="003E2B3F"/>
    <w:rsid w:val="00402A78"/>
    <w:rsid w:val="004114C7"/>
    <w:rsid w:val="0049205C"/>
    <w:rsid w:val="00496BBE"/>
    <w:rsid w:val="004A1DDA"/>
    <w:rsid w:val="004A2A0E"/>
    <w:rsid w:val="004F0791"/>
    <w:rsid w:val="00511D01"/>
    <w:rsid w:val="00513118"/>
    <w:rsid w:val="00514911"/>
    <w:rsid w:val="00565470"/>
    <w:rsid w:val="005972C4"/>
    <w:rsid w:val="005D6FB0"/>
    <w:rsid w:val="005F4637"/>
    <w:rsid w:val="005F7553"/>
    <w:rsid w:val="00604C45"/>
    <w:rsid w:val="00606193"/>
    <w:rsid w:val="00613F77"/>
    <w:rsid w:val="00657322"/>
    <w:rsid w:val="00663699"/>
    <w:rsid w:val="00664127"/>
    <w:rsid w:val="00674E0A"/>
    <w:rsid w:val="006A673B"/>
    <w:rsid w:val="006C1C56"/>
    <w:rsid w:val="006E575E"/>
    <w:rsid w:val="006F25B4"/>
    <w:rsid w:val="00741507"/>
    <w:rsid w:val="00761FD5"/>
    <w:rsid w:val="007808DF"/>
    <w:rsid w:val="00780BE3"/>
    <w:rsid w:val="007954D6"/>
    <w:rsid w:val="007A2556"/>
    <w:rsid w:val="007B187A"/>
    <w:rsid w:val="007B511C"/>
    <w:rsid w:val="007C0080"/>
    <w:rsid w:val="007E2CBF"/>
    <w:rsid w:val="00813570"/>
    <w:rsid w:val="00814BD0"/>
    <w:rsid w:val="00836944"/>
    <w:rsid w:val="00870AAE"/>
    <w:rsid w:val="00881EFB"/>
    <w:rsid w:val="00892A62"/>
    <w:rsid w:val="00894F79"/>
    <w:rsid w:val="00962755"/>
    <w:rsid w:val="009639BD"/>
    <w:rsid w:val="00983198"/>
    <w:rsid w:val="00992BB7"/>
    <w:rsid w:val="009D015A"/>
    <w:rsid w:val="009F57E0"/>
    <w:rsid w:val="00A00166"/>
    <w:rsid w:val="00A064B7"/>
    <w:rsid w:val="00A118F8"/>
    <w:rsid w:val="00A24103"/>
    <w:rsid w:val="00A2555D"/>
    <w:rsid w:val="00A30830"/>
    <w:rsid w:val="00A34827"/>
    <w:rsid w:val="00A579E7"/>
    <w:rsid w:val="00A83A9D"/>
    <w:rsid w:val="00A84DCF"/>
    <w:rsid w:val="00AC0585"/>
    <w:rsid w:val="00AC4137"/>
    <w:rsid w:val="00AC47A8"/>
    <w:rsid w:val="00AD43D9"/>
    <w:rsid w:val="00B37723"/>
    <w:rsid w:val="00B74A63"/>
    <w:rsid w:val="00B75763"/>
    <w:rsid w:val="00BC09BF"/>
    <w:rsid w:val="00BC471A"/>
    <w:rsid w:val="00C01B5D"/>
    <w:rsid w:val="00C12919"/>
    <w:rsid w:val="00CC3109"/>
    <w:rsid w:val="00CE6DD2"/>
    <w:rsid w:val="00D007C9"/>
    <w:rsid w:val="00D715F0"/>
    <w:rsid w:val="00D96F01"/>
    <w:rsid w:val="00DA0539"/>
    <w:rsid w:val="00DB076B"/>
    <w:rsid w:val="00DE04CB"/>
    <w:rsid w:val="00E13536"/>
    <w:rsid w:val="00E16D1D"/>
    <w:rsid w:val="00E477CE"/>
    <w:rsid w:val="00E55A4A"/>
    <w:rsid w:val="00E71A73"/>
    <w:rsid w:val="00ED5632"/>
    <w:rsid w:val="00ED77C1"/>
    <w:rsid w:val="00F02B9A"/>
    <w:rsid w:val="00F2250B"/>
    <w:rsid w:val="00F34A53"/>
    <w:rsid w:val="00F51634"/>
    <w:rsid w:val="00F602E2"/>
    <w:rsid w:val="00F62AC3"/>
    <w:rsid w:val="00F634CE"/>
    <w:rsid w:val="00F724F2"/>
    <w:rsid w:val="00F97320"/>
    <w:rsid w:val="00FC09B7"/>
    <w:rsid w:val="00FC2C9E"/>
    <w:rsid w:val="00FC36EA"/>
    <w:rsid w:val="00FC5E46"/>
    <w:rsid w:val="00FE4611"/>
    <w:rsid w:val="19562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F41A3"/>
  <w15:docId w15:val="{7403F1E4-E366-44FC-B329-FC4AA81E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5">
    <w:name w:val="Normal (Web)"/>
    <w:basedOn w:val="a"/>
    <w:uiPriority w:val="99"/>
    <w:semiHidden/>
    <w:unhideWhenUsed/>
    <w:qFormat/>
    <w:rPr>
      <w:rFonts w:ascii="Times New Roman" w:hAnsi="Times New Roman" w:cs="Times New Roman"/>
      <w:sz w:val="24"/>
      <w:szCs w:val="24"/>
    </w:rPr>
  </w:style>
  <w:style w:type="paragraph" w:styleId="a6">
    <w:name w:val="Title"/>
    <w:basedOn w:val="a"/>
    <w:next w:val="a"/>
    <w:link w:val="a7"/>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7">
    <w:name w:val="标题 字符"/>
    <w:basedOn w:val="a0"/>
    <w:link w:val="a6"/>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spacing w:before="160" w:after="160"/>
      <w:jc w:val="center"/>
    </w:pPr>
    <w:rPr>
      <w:i/>
      <w:iCs/>
      <w:color w:val="404040" w:themeColor="text1" w:themeTint="BF"/>
    </w:rPr>
  </w:style>
  <w:style w:type="character" w:customStyle="1" w:styleId="a9">
    <w:name w:val="引用 字符"/>
    <w:basedOn w:val="a0"/>
    <w:link w:val="a8"/>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b">
    <w:name w:val="Intense Quote"/>
    <w:basedOn w:val="a"/>
    <w:next w:val="a"/>
    <w:link w:val="a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d">
    <w:name w:val="header"/>
    <w:basedOn w:val="a"/>
    <w:link w:val="ae"/>
    <w:uiPriority w:val="99"/>
    <w:unhideWhenUsed/>
    <w:rsid w:val="00983198"/>
    <w:pPr>
      <w:tabs>
        <w:tab w:val="center" w:pos="4153"/>
        <w:tab w:val="right" w:pos="8306"/>
      </w:tabs>
      <w:snapToGrid w:val="0"/>
      <w:jc w:val="center"/>
    </w:pPr>
    <w:rPr>
      <w:sz w:val="18"/>
      <w:szCs w:val="18"/>
    </w:rPr>
  </w:style>
  <w:style w:type="character" w:customStyle="1" w:styleId="ae">
    <w:name w:val="页眉 字符"/>
    <w:basedOn w:val="a0"/>
    <w:link w:val="ad"/>
    <w:uiPriority w:val="99"/>
    <w:rsid w:val="00983198"/>
    <w:rPr>
      <w:kern w:val="2"/>
      <w:sz w:val="18"/>
      <w:szCs w:val="18"/>
      <w14:ligatures w14:val="standardContextual"/>
    </w:rPr>
  </w:style>
  <w:style w:type="paragraph" w:styleId="af">
    <w:name w:val="footer"/>
    <w:basedOn w:val="a"/>
    <w:link w:val="af0"/>
    <w:uiPriority w:val="99"/>
    <w:unhideWhenUsed/>
    <w:rsid w:val="00983198"/>
    <w:pPr>
      <w:tabs>
        <w:tab w:val="center" w:pos="4153"/>
        <w:tab w:val="right" w:pos="8306"/>
      </w:tabs>
      <w:snapToGrid w:val="0"/>
      <w:jc w:val="left"/>
    </w:pPr>
    <w:rPr>
      <w:sz w:val="18"/>
      <w:szCs w:val="18"/>
    </w:rPr>
  </w:style>
  <w:style w:type="character" w:customStyle="1" w:styleId="af0">
    <w:name w:val="页脚 字符"/>
    <w:basedOn w:val="a0"/>
    <w:link w:val="af"/>
    <w:uiPriority w:val="99"/>
    <w:rsid w:val="00983198"/>
    <w:rPr>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鑫 闵</dc:creator>
  <cp:lastModifiedBy>郑玮琪</cp:lastModifiedBy>
  <cp:revision>2</cp:revision>
  <dcterms:created xsi:type="dcterms:W3CDTF">2025-11-26T09:55:00Z</dcterms:created>
  <dcterms:modified xsi:type="dcterms:W3CDTF">2025-11-26T09:55:00Z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89C497BE354F49FF8CDF9722757A3ADF_13</vt:lpwstr>
  </property>
</Properties>
</file>