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left"/>
        <w:rPr>
          <w:rFonts w:ascii="仿宋" w:hAnsi="仿宋" w:cs="仿宋"/>
          <w:b/>
          <w:bCs/>
          <w:i w:val="0"/>
          <w:iCs w:val="0"/>
          <w:szCs w:val="40"/>
          <w:u w:val="none"/>
        </w:rPr>
      </w:pPr>
      <w:r>
        <w:rPr>
          <w:rFonts w:hint="eastAsia" w:ascii="仿宋" w:hAnsi="仿宋" w:cs="仿宋"/>
          <w:b/>
          <w:bCs/>
          <w:i w:val="0"/>
          <w:iCs w:val="0"/>
          <w:szCs w:val="40"/>
          <w:u w:val="none"/>
        </w:rPr>
        <w:t>附件</w:t>
      </w:r>
      <w:r>
        <w:rPr>
          <w:rFonts w:hint="eastAsia" w:ascii="仿宋" w:hAnsi="仿宋" w:cs="仿宋"/>
          <w:b/>
          <w:bCs/>
          <w:i w:val="0"/>
          <w:iCs w:val="0"/>
          <w:szCs w:val="40"/>
          <w:u w:val="none"/>
          <w:lang w:val="en-US" w:eastAsia="zh-CN"/>
        </w:rPr>
        <w:t>3</w:t>
      </w:r>
      <w:r>
        <w:rPr>
          <w:rFonts w:hint="eastAsia" w:ascii="仿宋" w:hAnsi="仿宋" w:cs="仿宋"/>
          <w:b/>
          <w:bCs/>
          <w:i w:val="0"/>
          <w:iCs w:val="0"/>
          <w:szCs w:val="40"/>
          <w:u w:val="none"/>
        </w:rPr>
        <w:t>：中国地质大学（北京</w:t>
      </w:r>
      <w:bookmarkStart w:id="0" w:name="_GoBack"/>
      <w:r>
        <w:rPr>
          <w:rFonts w:hint="eastAsia" w:ascii="仿宋" w:hAnsi="仿宋" w:cs="仿宋"/>
          <w:b/>
          <w:bCs/>
          <w:i w:val="0"/>
          <w:iCs w:val="0"/>
          <w:szCs w:val="40"/>
          <w:u w:val="none"/>
        </w:rPr>
        <w:t>）就业创业工作考评体系</w:t>
      </w:r>
      <w:bookmarkEnd w:id="0"/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406"/>
        <w:gridCol w:w="578"/>
        <w:gridCol w:w="5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5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</w:pPr>
            <w:r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</w:pPr>
            <w:r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  <w:t>指标</w:t>
            </w:r>
          </w:p>
        </w:tc>
        <w:tc>
          <w:tcPr>
            <w:tcW w:w="8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</w:pPr>
            <w:r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</w:pPr>
            <w:r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  <w:t>指标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ascii="仿宋" w:hAnsi="仿宋" w:cs="仿宋"/>
                <w:b/>
                <w:bCs/>
                <w:i w:val="0"/>
                <w:iCs w:val="0"/>
                <w:sz w:val="24"/>
                <w:u w:val="none"/>
              </w:rPr>
            </w:pPr>
            <w:r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  <w:t>分值</w:t>
            </w:r>
          </w:p>
        </w:tc>
        <w:tc>
          <w:tcPr>
            <w:tcW w:w="3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</w:pPr>
            <w:r>
              <w:rPr>
                <w:rStyle w:val="4"/>
                <w:rFonts w:hint="default" w:ascii="仿宋" w:hAnsi="仿宋" w:eastAsia="仿宋" w:cs="仿宋"/>
                <w:i w:val="0"/>
                <w:iCs w:val="0"/>
                <w:color w:val="auto"/>
                <w:u w:val="none"/>
                <w:lang w:bidi="ar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毕业去向落实情况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就业目标完成情况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（统计截点：8月31日）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10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hint="default" w:ascii="仿宋" w:hAnsi="仿宋" w:eastAsia="仿宋" w:cs="仿宋"/>
                <w:i w:val="0"/>
                <w:i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本科毕业生、毕业生研究生一次毕业去向落实率均高于90%。（各5分，未达到90%不得分。）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10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本科毕业生一次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毕业去向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落实率每较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学校本科毕业生一次落实率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高/低1%，加/减1分。（±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毕业研究生一次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毕业去向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落实率每较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学校毕业研究生一次落实率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高/低1%，加/减1分。（±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困难群体毕业去向落实率不低于学校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一次毕业去向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落实率，每低于落实率1%，扣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年度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就业落实情况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10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年度本科毕业生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毕业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去向落实率较学校本科落实率每高/低1%，加/减1分。（±10分）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10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年度毕业研究生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毕业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去向落实率较学校毕业研究生落实率每高/低1%，加/减1分。（±10分）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kern w:val="0"/>
                <w:sz w:val="24"/>
                <w:u w:val="none"/>
                <w:lang w:val="en-US" w:eastAsia="zh-CN" w:bidi="ar"/>
              </w:rPr>
              <w:t>毕业生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仿宋" w:hAnsi="仿宋" w:cs="仿宋"/>
                <w:i w:val="0"/>
                <w:iCs w:val="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kern w:val="0"/>
                <w:sz w:val="24"/>
                <w:u w:val="none"/>
                <w:lang w:val="en-US" w:eastAsia="zh-CN" w:bidi="ar"/>
              </w:rPr>
              <w:t>就业质量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就业质量专项指标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10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年度签约率与学院前三年平均签约率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相较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，每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高/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低1%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加/减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分。（±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仿宋" w:hAnsi="仿宋" w:cs="仿宋"/>
                <w:i w:val="0"/>
                <w:iCs w:val="0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仿宋" w:hAnsi="仿宋" w:cs="仿宋"/>
                <w:i w:val="0"/>
                <w:iCs w:val="0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考研率与学院前三年平均考研率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相较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，每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高/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低1%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加/减0.5分。（±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西部基层就业比例与学院前三年平均西部基层就业比例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相较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，每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高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1%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加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.5分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,加满为止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签约就业毕业生中，地方选调生比例与学院前三年平均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选调生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比例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相较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，每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高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1%，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加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0.5分，加满为止。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重点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项目</w:t>
            </w: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就业情况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参加“大学生村官”“三支一扶”“志愿服务西部”等项目，每人0.5分，加满为止。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2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参加新疆西藏专招项目，每人2分，不设上限。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毕业生参军入伍，每人0.5分，加满为止。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自主创业并完成工商注册，每人0.5分，加满为止。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82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到国际组织实习任职，每人0.5分，加满为止。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ascii="仿宋" w:hAnsi="仿宋" w:cs="仿宋"/>
                <w:i w:val="0"/>
                <w:iCs w:val="0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满意度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32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</w:rPr>
              <w:t>毕业生对学院就业工作满意度较学校平均满意度每高1%，加0.5分，加满为止。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学院年度就业落实情况贡献</w:t>
            </w:r>
          </w:p>
        </w:tc>
        <w:tc>
          <w:tcPr>
            <w:tcW w:w="3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firstLine="0" w:firstLineChars="0"/>
              <w:textAlignment w:val="center"/>
              <w:rPr>
                <w:rFonts w:hint="default" w:ascii="仿宋" w:hAnsi="仿宋" w:cs="仿宋"/>
                <w:i w:val="0"/>
                <w:iCs w:val="0"/>
                <w:sz w:val="24"/>
                <w:u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sz w:val="24"/>
                <w:u w:val="none"/>
                <w:lang w:val="en-US" w:eastAsia="zh-CN"/>
              </w:rPr>
              <w:t>学院年度就业落实情况贡献度=100*年度学院落实就业人数/学校整体落实就业人数比例，不设上限。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YjNkNTQxZmRiNTZkNDg4Y2FhYzIzOTEwMmI1NWUifQ=="/>
  </w:docVars>
  <w:rsids>
    <w:rsidRoot w:val="57AD55B9"/>
    <w:rsid w:val="25DE1426"/>
    <w:rsid w:val="57AD55B9"/>
    <w:rsid w:val="75C7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121"/>
    <w:basedOn w:val="3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2021-12-06T10:16:00Z</dcterms:created>
  <dc:creator>于琦</dc:creator>
  <cp:lastModifiedBy>yuqi</cp:lastModifiedBy>
  <cp:lastPrinted>2021-12-08T03:38:00Z</cp:lastPrinted>
  <dcterms:modified xsi:type="dcterms:W3CDTF">2023-12-18T02:11:51Z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4098047B3F3343BFA72DDF89F9104745</vt:lpwstr>
  </property>
</Properties>
</file>