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D700">
      <w:pPr>
        <w:pStyle w:val="4"/>
        <w:bidi w:val="0"/>
      </w:pPr>
      <w:bookmarkStart w:id="0" w:name="_Toc8315"/>
      <w:bookmarkStart w:id="1" w:name="_Toc7554_WPSOffice_Level1"/>
      <w:r>
        <w:rPr>
          <w:rFonts w:hint="eastAsia"/>
          <w:lang w:val="en-US" w:eastAsia="zh-CN"/>
        </w:rPr>
        <w:t>附件2-9：</w:t>
      </w:r>
      <w:bookmarkEnd w:id="0"/>
      <w:r>
        <w:rPr>
          <w:rFonts w:hint="eastAsia"/>
        </w:rPr>
        <w:t xml:space="preserve">           </w:t>
      </w:r>
    </w:p>
    <w:p w14:paraId="1DFC6E57">
      <w:pPr>
        <w:spacing w:line="560" w:lineRule="exact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租车协议书</w:t>
      </w:r>
      <w:bookmarkEnd w:id="1"/>
    </w:p>
    <w:p w14:paraId="3083D0DA">
      <w:pPr>
        <w:spacing w:line="560" w:lineRule="exact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甲方：中国地质大学（北京）</w:t>
      </w:r>
      <w:r>
        <w:rPr>
          <w:rFonts w:hint="eastAsia" w:hAnsi="仿宋_GB2312" w:cs="仿宋_GB2312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以下简称甲方</w:t>
      </w:r>
      <w:r>
        <w:rPr>
          <w:rFonts w:hint="eastAsia" w:hAnsi="仿宋_GB2312" w:cs="仿宋_GB2312"/>
          <w:sz w:val="24"/>
          <w:szCs w:val="24"/>
          <w:shd w:val="clear" w:color="auto" w:fill="auto"/>
          <w:lang w:eastAsia="zh-CN"/>
        </w:rPr>
        <w:t>）</w:t>
      </w:r>
    </w:p>
    <w:p w14:paraId="5F423576">
      <w:pPr>
        <w:spacing w:line="560" w:lineRule="exact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乙方：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         </w:t>
      </w:r>
      <w:r>
        <w:rPr>
          <w:rFonts w:hint="eastAsia" w:hAnsi="仿宋_GB2312" w:cs="仿宋_GB2312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以下简称方乙</w:t>
      </w:r>
      <w:r>
        <w:rPr>
          <w:rFonts w:hint="eastAsia" w:hAnsi="仿宋_GB2312" w:cs="仿宋_GB2312"/>
          <w:sz w:val="24"/>
          <w:szCs w:val="24"/>
          <w:shd w:val="clear" w:color="auto" w:fill="auto"/>
          <w:lang w:eastAsia="zh-CN"/>
        </w:rPr>
        <w:t>）</w:t>
      </w:r>
    </w:p>
    <w:p w14:paraId="33EE6CB5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因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项目工作需要，经过甲乙双方协商，达成如下协议：</w:t>
      </w:r>
    </w:p>
    <w:p w14:paraId="71230747">
      <w:pPr>
        <w:numPr>
          <w:ilvl w:val="0"/>
          <w:numId w:val="0"/>
        </w:num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u w:val="single"/>
          <w:shd w:val="clear" w:color="auto" w:fill="auto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 w:fill="auto"/>
          <w:lang w:val="en-US" w:eastAsia="zh-CN" w:bidi="ar-SA"/>
        </w:rPr>
        <w:t>一、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甲方承租乙方车辆用于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                                         </w:t>
      </w:r>
    </w:p>
    <w:p w14:paraId="583BFDBD">
      <w:pPr>
        <w:numPr>
          <w:ilvl w:val="255"/>
          <w:numId w:val="0"/>
        </w:numPr>
        <w:spacing w:line="560" w:lineRule="exact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                                                   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。</w:t>
      </w:r>
    </w:p>
    <w:p w14:paraId="79938299">
      <w:pPr>
        <w:spacing w:line="560" w:lineRule="exact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车型：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 xml:space="preserve">   时间： 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 xml:space="preserve"> 工作区段：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          </w:t>
      </w:r>
    </w:p>
    <w:p w14:paraId="6FFB231A">
      <w:pPr>
        <w:spacing w:line="560" w:lineRule="exact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租金为</w:t>
      </w:r>
      <w:r>
        <w:rPr>
          <w:rFonts w:hint="eastAsia" w:ascii="仿宋_GB2312" w:hAnsi="仿宋_GB2312" w:cs="仿宋_GB2312"/>
          <w:sz w:val="24"/>
          <w:szCs w:val="24"/>
          <w:u w:val="single"/>
          <w:shd w:val="clear" w:color="auto" w:fill="auto"/>
        </w:rPr>
        <w:t xml:space="preserve">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元/天/台。</w:t>
      </w:r>
    </w:p>
    <w:p w14:paraId="05C3264B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二、在租赁期间，甲方负责车辆租金，车用燃料费，过路、过桥费等；乙方负责车辆的维修及保养费用。</w:t>
      </w:r>
    </w:p>
    <w:p w14:paraId="12616D7B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三、乙方提供的车辆性能及车况良好，各种手续及证照齐全，车上附带备胎、常用工具。</w:t>
      </w:r>
    </w:p>
    <w:p w14:paraId="43919125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四、乙方要向甲方提供司乘险和第三者险，以及驾驶员的人身意外伤害险手续证明。</w:t>
      </w:r>
    </w:p>
    <w:p w14:paraId="475945E0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五、租赁期间，如因驾驶人员不服从甲方工作安排，或出现重大失误，甲方有辞退权力，返程费用自理。</w:t>
      </w:r>
    </w:p>
    <w:p w14:paraId="3181D2C7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六、由驾驶员本人造成的事故，由本人负责，由本人造成的违反交通法规形成的罚没款，由本人负责；在工作区内不可抗拒的收费等，由甲方负责。</w:t>
      </w:r>
    </w:p>
    <w:p w14:paraId="75EA1BF7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七、驾驶员要遵守科研队纪律，遵守民族政策，支持项目工作，服从合理安排，团结协作，主动参与</w:t>
      </w:r>
      <w:r>
        <w:rPr>
          <w:rFonts w:hint="eastAsia" w:hAnsi="仿宋_GB2312" w:cs="仿宋_GB2312"/>
          <w:sz w:val="24"/>
          <w:szCs w:val="24"/>
          <w:shd w:val="clear" w:color="auto" w:fill="auto"/>
          <w:lang w:eastAsia="zh-CN"/>
        </w:rPr>
        <w:t>外出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工作中的搬迁、装卸等事务性工作。</w:t>
      </w:r>
    </w:p>
    <w:p w14:paraId="2CA5B377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八、租赁期间，如乙方单方面驾车离开，甲方扣除前期全部车辆租金及劳务费，并追究由此给甲方造成的经济损失的赔偿责任。</w:t>
      </w:r>
    </w:p>
    <w:p w14:paraId="16694C84">
      <w:pPr>
        <w:spacing w:line="560" w:lineRule="exact"/>
        <w:ind w:firstLine="480" w:firstLineChars="200"/>
        <w:jc w:val="left"/>
        <w:outlineLvl w:val="9"/>
        <w:rPr>
          <w:rFonts w:hint="eastAsia"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九、乙方食宿由甲方负责，在可能的前提下，甲方尽可能创造有利工作和生活条件，提供必要的装备。</w:t>
      </w:r>
    </w:p>
    <w:p w14:paraId="32EC85A4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bookmarkStart w:id="2" w:name="_GoBack"/>
      <w:bookmarkEnd w:id="2"/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十、野外工作结束后，在一个月内甲方付清乙方租金，乙方提供正规租车发票。</w:t>
      </w:r>
    </w:p>
    <w:p w14:paraId="6B8D562A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十一、本协议未尽事宜由双方协商解决。</w:t>
      </w:r>
    </w:p>
    <w:p w14:paraId="6A3AEAD2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十二、本协议一式三份，甲方、项目组、乙方各执一份。</w:t>
      </w:r>
    </w:p>
    <w:p w14:paraId="0D197A56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5793F1A8">
      <w:pPr>
        <w:tabs>
          <w:tab w:val="left" w:pos="5220"/>
          <w:tab w:val="left" w:pos="5580"/>
          <w:tab w:val="left" w:pos="5760"/>
        </w:tabs>
        <w:spacing w:line="560" w:lineRule="exact"/>
        <w:ind w:firstLine="727" w:firstLineChars="303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甲方盖章:                          乙方盖章：</w:t>
      </w:r>
    </w:p>
    <w:p w14:paraId="3D86DEA1">
      <w:pPr>
        <w:spacing w:line="560" w:lineRule="exact"/>
        <w:ind w:firstLine="720" w:firstLineChars="3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负责人签字：                       负责人签字：</w:t>
      </w:r>
    </w:p>
    <w:p w14:paraId="4736F3F3">
      <w:pPr>
        <w:spacing w:line="560" w:lineRule="exact"/>
        <w:ind w:firstLine="727" w:firstLineChars="303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联系电话：                         联系电话：</w:t>
      </w:r>
    </w:p>
    <w:p w14:paraId="2EC0B49D">
      <w:pPr>
        <w:spacing w:line="560" w:lineRule="exact"/>
        <w:ind w:firstLine="5880" w:firstLineChars="245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6EBA9FC1">
      <w:pPr>
        <w:spacing w:line="560" w:lineRule="exact"/>
        <w:ind w:firstLine="5040" w:firstLineChars="21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日期：</w:t>
      </w:r>
    </w:p>
    <w:p w14:paraId="230D61E2">
      <w:pPr>
        <w:spacing w:line="560" w:lineRule="exact"/>
        <w:ind w:firstLine="480" w:firstLineChars="200"/>
        <w:jc w:val="left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60A7124B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A5EF204-0D17-4BE6-94ED-B77B64DED7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AC326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2406EF6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496</Characters>
  <Lines>269</Lines>
  <Paragraphs>75</Paragraphs>
  <TotalTime>0</TotalTime>
  <ScaleCrop>false</ScaleCrop>
  <LinksUpToDate>false</LinksUpToDate>
  <CharactersWithSpaces>706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2024-10-25T08:33:06Z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DCEA0BC4B4B54AA58ECED36D6D0D239F_13</vt:lpwstr>
  </property>
</Properties>
</file>