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5E807">
      <w:pPr>
        <w:spacing w:before="150" w:line="560" w:lineRule="exact"/>
        <w:outlineLvl w:val="2"/>
        <w:rPr>
          <w:rFonts w:ascii="仿宋_GB2312" w:hAnsi="仿宋_GB2312" w:cs="仿宋_GB2312"/>
          <w:b/>
          <w:bCs/>
          <w:szCs w:val="32"/>
          <w:shd w:val="clear" w:color="auto" w:fill="auto"/>
        </w:rPr>
      </w:pPr>
      <w:bookmarkStart w:id="0" w:name="_Toc5125"/>
      <w:r>
        <w:rPr>
          <w:rStyle w:val="23"/>
          <w:rFonts w:hint="eastAsia"/>
          <w:lang w:val="en-US" w:eastAsia="zh-CN"/>
        </w:rPr>
        <w:t>附件2-1：</w:t>
      </w:r>
      <w:bookmarkEnd w:id="0"/>
      <w:r>
        <w:rPr>
          <w:rFonts w:hint="eastAsia" w:ascii="仿宋_GB2312" w:hAnsi="仿宋_GB2312" w:cs="仿宋_GB2312"/>
          <w:b/>
          <w:bCs/>
          <w:szCs w:val="32"/>
          <w:shd w:val="clear" w:color="auto" w:fill="auto"/>
        </w:rPr>
        <w:t xml:space="preserve">      </w:t>
      </w:r>
    </w:p>
    <w:p w14:paraId="2793B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ascii="仿宋_GB2312" w:hAnsi="仿宋_GB2312" w:eastAsia="方正小标宋简体" w:cs="方正小标宋简体"/>
          <w:sz w:val="35"/>
          <w:szCs w:val="35"/>
          <w:shd w:val="clear" w:color="auto" w:fill="auto"/>
        </w:rPr>
      </w:pPr>
      <w:r>
        <w:rPr>
          <w:rFonts w:hint="eastAsia" w:ascii="仿宋_GB2312" w:hAnsi="仿宋_GB2312" w:eastAsia="方正小标宋简体" w:cs="方正小标宋简体"/>
          <w:spacing w:val="9"/>
          <w:sz w:val="35"/>
          <w:szCs w:val="35"/>
          <w:shd w:val="clear" w:color="auto" w:fill="auto"/>
        </w:rPr>
        <w:t>中国地质大学（北京）</w:t>
      </w:r>
    </w:p>
    <w:p w14:paraId="2124A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ascii="仿宋_GB2312" w:hAnsi="仿宋_GB2312" w:eastAsia="方正小标宋简体" w:cs="方正小标宋简体"/>
          <w:sz w:val="21"/>
          <w:shd w:val="clear" w:color="auto" w:fill="auto"/>
        </w:rPr>
      </w:pPr>
      <w:r>
        <w:rPr>
          <w:rFonts w:hint="eastAsia" w:ascii="仿宋_GB2312" w:hAnsi="仿宋_GB2312" w:eastAsia="方正小标宋简体" w:cs="方正小标宋简体"/>
          <w:spacing w:val="-17"/>
          <w:w w:val="100"/>
          <w:sz w:val="35"/>
          <w:szCs w:val="35"/>
          <w:shd w:val="clear" w:color="auto" w:fill="auto"/>
        </w:rPr>
        <w:t>贯彻落实过“紧日子”要求和坚持勤俭办学工作实施方案</w:t>
      </w:r>
    </w:p>
    <w:p w14:paraId="2C1C244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" w:firstLine="52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</w:pPr>
      <w:r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  <w:t>为贯彻落实党中央、国务院关于过“紧日子”和坚持厉行节约反对浪费有关要求，参照《财政部关于贯彻落实过“紧日子”要求，进一步加强和规范中央部门预算管理的通知》（财预〔2019〕10号），结合学校实际，特制定本实施方案。</w:t>
      </w:r>
    </w:p>
    <w:p w14:paraId="59F84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_GB2312" w:hAnsi="仿宋_GB2312" w:eastAsia="黑体" w:cs="黑体"/>
          <w:sz w:val="31"/>
          <w:szCs w:val="31"/>
          <w:shd w:val="clear" w:color="auto" w:fill="auto"/>
        </w:rPr>
      </w:pPr>
      <w:r>
        <w:rPr>
          <w:rFonts w:hint="eastAsia" w:ascii="仿宋_GB2312" w:hAnsi="仿宋_GB2312" w:eastAsia="黑体" w:cs="黑体"/>
          <w:sz w:val="28"/>
          <w:shd w:val="clear" w:color="auto" w:fill="auto"/>
        </w:rPr>
        <w:t>一、指导思想</w:t>
      </w:r>
    </w:p>
    <w:p w14:paraId="6FF1571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" w:firstLine="52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</w:pPr>
      <w:r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  <w:t>全面贯彻落实习近平总书记关于树牢过“紧日子”重要论述和党中央、国务院及财政、教育主管部门政策要求，提高政治站位，坚持量入为出和量力而行的原则，在“保民生、保运行、保重点”的前提下，积极发扬“艰苦朴素、求真务实”的校训精神，统筹考虑疫情防控，牢固树立过“紧日子”思想,形成过“紧日子”常态，进一步增强勤俭办事业的意识，坚决压缩学校一般性支出，压减公用经费和三公经费。</w:t>
      </w:r>
    </w:p>
    <w:p w14:paraId="55AB28F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" w:firstLine="52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</w:pPr>
      <w:r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  <w:t>坚持学校发展一盘棋，统筹学校各项财力及资源，优化项目设置和支出结构，防止资金使用的碎片化，严格预算刚性约束，做到提早安排、科学谋划，坚决杜绝年底突击花钱,将有限财力投入到制约学校发展的关键领域，切实把资金用在刀刃上，促进“双一流”建设再上新台阶。</w:t>
      </w:r>
    </w:p>
    <w:p w14:paraId="78452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88" w:firstLineChars="200"/>
        <w:textAlignment w:val="auto"/>
        <w:outlineLvl w:val="9"/>
        <w:rPr>
          <w:rFonts w:hint="eastAsia" w:ascii="仿宋_GB2312" w:hAnsi="仿宋_GB2312" w:eastAsia="黑体" w:cs="黑体"/>
          <w:sz w:val="28"/>
          <w:shd w:val="clear" w:color="auto" w:fill="auto"/>
        </w:rPr>
      </w:pPr>
      <w:r>
        <w:rPr>
          <w:rFonts w:hint="eastAsia" w:ascii="仿宋_GB2312" w:hAnsi="仿宋_GB2312" w:eastAsia="黑体" w:cs="黑体"/>
          <w:spacing w:val="7"/>
          <w:sz w:val="28"/>
          <w:shd w:val="clear" w:color="auto" w:fill="auto"/>
        </w:rPr>
        <w:t>二、总体要求</w:t>
      </w:r>
    </w:p>
    <w:p w14:paraId="04C4702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"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28"/>
          <w:szCs w:val="28"/>
          <w:shd w:val="clear" w:color="auto" w:fill="auto"/>
        </w:rPr>
        <w:t>（一）压减一般性支出</w:t>
      </w:r>
    </w:p>
    <w:p w14:paraId="460C4C2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" w:firstLine="52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</w:pPr>
      <w:r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  <w:t>按照国家关于过“紧日子”的有关要求，坚持勤俭节约办事业，2021年进一步压缩公用经费及专项经费。各单位要坚持厉行节约，从严控制一般性支出，压缩标准过高、承诺过多的不可持续、不切合实际及执行效率低的支出，将“艰苦朴素、求真务实”的校训精神融入日常工作。</w:t>
      </w:r>
    </w:p>
    <w:p w14:paraId="1AB29A0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"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0"/>
          <w:sz w:val="28"/>
          <w:szCs w:val="28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28"/>
          <w:szCs w:val="28"/>
          <w:shd w:val="clear" w:color="auto" w:fill="auto"/>
        </w:rPr>
        <w:t>（二）规范预算执行</w:t>
      </w:r>
    </w:p>
    <w:p w14:paraId="5560D90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" w:firstLine="52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</w:pPr>
      <w:r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  <w:t>各单位要严格预算约束，统筹规划，除特殊情况外，原则上不再追加预算。对执行中新增的临时性、应急性等支出，全部通过现有预算调整解决。对各类业务经费，坚持精打细算、勤俭节约，严禁铺张浪费，对不该开支或不必开支的事项一律不得开支。严肃年初预算编制，减少年中预算调整次数，原则上各单位每年调整一次。加强预算执行进度，严格履行政府采购手续，充分发挥财政资金效益。</w:t>
      </w:r>
    </w:p>
    <w:p w14:paraId="0A9C03B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"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0"/>
          <w:sz w:val="28"/>
          <w:szCs w:val="28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28"/>
          <w:szCs w:val="28"/>
          <w:shd w:val="clear" w:color="auto" w:fill="auto"/>
        </w:rPr>
        <w:t>（三）加强资金统筹力度</w:t>
      </w:r>
    </w:p>
    <w:p w14:paraId="62EB46C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" w:firstLine="52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</w:pPr>
      <w:r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  <w:t>加大结转资金、当年预算等各项资金统筹力度。按照尽力而为、量力而行和讲求绩效的原则，合理安排符合规定的各项支出，防止过度保障，避免资金浪费、闲置、沉淀。对立项后不跟踪问效和绩效考核评价结果不佳的项目，将在下年度安排预算时适当削减相应的经费。</w:t>
      </w:r>
    </w:p>
    <w:p w14:paraId="71EC38D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"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0"/>
          <w:sz w:val="28"/>
          <w:szCs w:val="28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28"/>
          <w:szCs w:val="28"/>
          <w:shd w:val="clear" w:color="auto" w:fill="auto"/>
        </w:rPr>
        <w:t>（四）加强和规范资产管理</w:t>
      </w:r>
    </w:p>
    <w:p w14:paraId="39FC238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" w:firstLine="52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</w:pPr>
      <w:r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  <w:t>完善学校资产配置制度，优化新增资产配置管理，对已有资产配置标准的，要严格按照标准配置；对没有资产配置标准的，要结合履职需要、存量资产状况，按照厉行节约反对浪费的原则，在充分论证基础上配置。</w:t>
      </w:r>
    </w:p>
    <w:p w14:paraId="7644CB5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" w:firstLine="52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</w:pPr>
      <w:r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  <w:t>对大型仪器设备、数据库、软件等资产的购置要进行充分论证。建立完善仪器设备等资产的共享共用和调剂机制，加大共享调剂力度，全面梳理现有的资产出租、出借合同协议，合同到期后应实行公开竞价招租。切实盘活存量资产，提高资产使用效能。</w:t>
      </w:r>
    </w:p>
    <w:p w14:paraId="574972A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"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0"/>
          <w:sz w:val="28"/>
          <w:szCs w:val="28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28"/>
          <w:szCs w:val="28"/>
          <w:shd w:val="clear" w:color="auto" w:fill="auto"/>
        </w:rPr>
        <w:t>（五）推进全面预算绩效管理</w:t>
      </w:r>
    </w:p>
    <w:p w14:paraId="19504FA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" w:firstLine="52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</w:pPr>
      <w:r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  <w:t>2021年进一步扩大预算绩效评价范围，将校内预算重点项目和相关部门预算收支纳入绩效评价，对涉及经费投入的现有和新出台的政策和项目开展绩效评估。加强预算绩效目标管理，根据业务实际和项目管理需求，科学设置绩效指标和指标值，扎实开展绩效目标执行监控，对发现问题和管理漏洞，及时采取措施予以纠正。绩效评价结果作为预算安排和改进管理的重要依据，对交叉重复的政策和项目予以调整，对低效无效资金予以削减甚至取消。</w:t>
      </w:r>
    </w:p>
    <w:p w14:paraId="60FCF82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"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0"/>
          <w:sz w:val="28"/>
          <w:szCs w:val="28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28"/>
          <w:szCs w:val="28"/>
          <w:shd w:val="clear" w:color="auto" w:fill="auto"/>
        </w:rPr>
        <w:t>（六）切实严肃财经纪律</w:t>
      </w:r>
    </w:p>
    <w:p w14:paraId="3436C22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" w:firstLine="52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</w:pPr>
      <w:r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  <w:t>进一步完善重大项目安排、大额资金使用流程，着力强化部门内控管理，将项目立项、预算编制、预算执行、绩效管理等各个环节的责任明确到人、落实到位，有效防控业务和管理风险。</w:t>
      </w:r>
    </w:p>
    <w:p w14:paraId="44522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88" w:firstLineChars="200"/>
        <w:textAlignment w:val="auto"/>
        <w:outlineLvl w:val="9"/>
        <w:rPr>
          <w:rFonts w:hint="eastAsia" w:ascii="仿宋_GB2312" w:hAnsi="仿宋_GB2312" w:eastAsia="黑体" w:cs="黑体"/>
          <w:spacing w:val="7"/>
          <w:sz w:val="28"/>
          <w:shd w:val="clear" w:color="auto" w:fill="auto"/>
        </w:rPr>
      </w:pPr>
      <w:r>
        <w:rPr>
          <w:rFonts w:hint="eastAsia" w:ascii="仿宋_GB2312" w:hAnsi="仿宋_GB2312" w:eastAsia="黑体" w:cs="黑体"/>
          <w:spacing w:val="7"/>
          <w:sz w:val="28"/>
          <w:shd w:val="clear" w:color="auto" w:fill="auto"/>
        </w:rPr>
        <w:t>三、工作措施</w:t>
      </w:r>
    </w:p>
    <w:p w14:paraId="419A6FF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"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0"/>
          <w:sz w:val="28"/>
          <w:szCs w:val="28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28"/>
          <w:szCs w:val="28"/>
          <w:shd w:val="clear" w:color="auto" w:fill="auto"/>
        </w:rPr>
        <w:t>（一）严控非必要办公费用</w:t>
      </w:r>
    </w:p>
    <w:p w14:paraId="20B65E9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" w:firstLine="52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</w:pPr>
      <w:r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  <w:t>优化办公家具、办公设备、办公用品的配置和使用，已到更新年限尚能继续使用的，不得报废处置；非损耗型办公用品应及时回收循环利用；减少非必要办公用品的开支；水、食品、餐费等支出在工作餐额度内实行总量控制；各单位不得使用校内预算经费支出口罩等生活日用品，原则上防疫物资由学校防疫办公室按需统一购买并调配。</w:t>
      </w:r>
    </w:p>
    <w:p w14:paraId="0BC9901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"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0"/>
          <w:sz w:val="28"/>
          <w:szCs w:val="28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28"/>
          <w:szCs w:val="28"/>
          <w:shd w:val="clear" w:color="auto" w:fill="auto"/>
        </w:rPr>
        <w:t>（二）强化人员经费支出管理</w:t>
      </w:r>
    </w:p>
    <w:p w14:paraId="4E06B7E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" w:firstLine="52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</w:pPr>
      <w:r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  <w:t>除学校人员经费和有相关文件规定外，校内预算原则上不安排人员经费支出。学校批准发放的各类奖励性绩效工资要严格执行学校文件规定，严格审批程序。人事处和财务处应加强审核。违反规定的，学校要严肃追责。</w:t>
      </w:r>
    </w:p>
    <w:p w14:paraId="76637B5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"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0"/>
          <w:sz w:val="28"/>
          <w:szCs w:val="28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28"/>
          <w:szCs w:val="28"/>
          <w:shd w:val="clear" w:color="auto" w:fill="auto"/>
        </w:rPr>
        <w:t>（三）节约用水、用电，降低能源消耗</w:t>
      </w:r>
    </w:p>
    <w:p w14:paraId="2B1878C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" w:firstLine="52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</w:pPr>
      <w:r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  <w:t>在自然光照明许可的情况下，尽量做到白天少开灯。尽量减少空调使用，如确需使用，夏季温度设定一般不低于26摄氏度，冬季一般不高于20摄氏度。下班前要关闭空调、电脑、打印机、电灯等电器设备，避免“长待机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  <w:lang w:eastAsia="zh-CN"/>
        </w:rPr>
        <w:t>”“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  <w:t>长明灯”现象。各单位要结合教学、科研安排，加大对高能耗大型仪器设备的使用管理，避免长时间空转造成能源浪费。</w:t>
      </w:r>
    </w:p>
    <w:p w14:paraId="682C893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"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0"/>
          <w:sz w:val="28"/>
          <w:szCs w:val="28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28"/>
          <w:szCs w:val="28"/>
          <w:shd w:val="clear" w:color="auto" w:fill="auto"/>
        </w:rPr>
        <w:t>（四）提高会议效率，减少会议费支出</w:t>
      </w:r>
    </w:p>
    <w:p w14:paraId="51803B1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" w:firstLine="52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</w:pPr>
      <w:r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  <w:t>切实减少会议数量。坚持务实高效原则，减少开会频次，控制会议规模，提高会议效率。充分利用现代信息技术手段改进会议形式，积极推行视频、网络会议。</w:t>
      </w:r>
    </w:p>
    <w:p w14:paraId="53B5298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" w:firstLine="52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</w:pPr>
      <w:r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  <w:t>有效降低会议成本，适合市场化运作的活动及会议，交由社会组织或企业举办，或按照“以会养会”的原则通过赞助、会务费等渠道筹措活动经费，学校不予补助。</w:t>
      </w:r>
    </w:p>
    <w:p w14:paraId="5A8C96B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" w:firstLine="52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</w:pPr>
      <w:r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  <w:t>校内工作会议、业务培训应充分利用校内非收费会议室、教室等资源召开，</w:t>
      </w:r>
      <w:r>
        <w:rPr>
          <w:rFonts w:hint="eastAsia" w:ascii="仿宋_GB2312" w:hAnsi="仿宋_GB2312" w:eastAsia="仿宋_GB2312" w:cs="仿宋_GB2312"/>
          <w:b/>
          <w:bCs/>
          <w:spacing w:val="10"/>
          <w:sz w:val="24"/>
          <w:szCs w:val="24"/>
          <w:shd w:val="clear" w:color="auto" w:fill="auto"/>
        </w:rPr>
        <w:t>原则上不应发生餐费支出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  <w:t>。有</w:t>
      </w:r>
      <w:r>
        <w:rPr>
          <w:rFonts w:hint="eastAsia" w:ascii="仿宋_GB2312" w:hAnsi="仿宋_GB2312" w:eastAsia="仿宋_GB2312" w:cs="仿宋_GB2312"/>
          <w:b/>
          <w:bCs/>
          <w:spacing w:val="10"/>
          <w:sz w:val="24"/>
          <w:szCs w:val="24"/>
          <w:shd w:val="clear" w:color="auto" w:fill="auto"/>
        </w:rPr>
        <w:t>校外人员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  <w:t>参加确需发生餐费支出的，按照招待费的陪同标准和报销标准执行。除会议统一发放的文件、材料外，</w:t>
      </w:r>
      <w:r>
        <w:rPr>
          <w:rFonts w:hint="eastAsia" w:ascii="仿宋_GB2312" w:hAnsi="仿宋_GB2312" w:eastAsia="仿宋_GB2312" w:cs="仿宋_GB2312"/>
          <w:b/>
          <w:bCs/>
          <w:spacing w:val="10"/>
          <w:sz w:val="24"/>
          <w:szCs w:val="24"/>
          <w:shd w:val="clear" w:color="auto" w:fill="auto"/>
        </w:rPr>
        <w:t>一律不发放文件包、纪念品等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  <w:t>，减少展板、横幅、标语的印刷与制作，会议或培训原则上不发放笔记本、笔等文具用品。</w:t>
      </w:r>
    </w:p>
    <w:p w14:paraId="3703B15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"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0"/>
          <w:sz w:val="28"/>
          <w:szCs w:val="28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28"/>
          <w:szCs w:val="28"/>
          <w:shd w:val="clear" w:color="auto" w:fill="auto"/>
        </w:rPr>
        <w:t>（五）加强“三公”经费管理</w:t>
      </w:r>
    </w:p>
    <w:p w14:paraId="1E1EE67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" w:firstLine="52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</w:pPr>
      <w:r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  <w:t>各部门要继续从严控制“三公”开支，加强“三公经费”支出事项必要性、合理性的审核，加强统筹规划和总量控制，不得安排无实质内容的公务活动。认真落实公车改革和管理规定，严格管理保留车辆，加强车辆使用审批，不得超标准租赁各类高档豪华车辆；严格执行招待费用审批手续，严格按标准安排食宿、交通及公务活动，简化接待礼仪，反对铺张浪费；严格因公临时出国（境）的校内审批和公示制度，执行因公临时出国（境）的报批手续。</w:t>
      </w:r>
    </w:p>
    <w:p w14:paraId="56A5F40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"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0"/>
          <w:sz w:val="28"/>
          <w:szCs w:val="28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28"/>
          <w:szCs w:val="28"/>
          <w:shd w:val="clear" w:color="auto" w:fill="auto"/>
        </w:rPr>
        <w:t>（六）控制学校各类活动经费支出</w:t>
      </w:r>
    </w:p>
    <w:p w14:paraId="5A00F2B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" w:firstLine="52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</w:pPr>
      <w:r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  <w:t>严控节庆、展览等大型活动，对学校名义主办的庆典、晚会、研讨会、论坛、展览、运动会、纪念会等大型活动严格预算管理，未列入预算的不得举办。列入预算的活动，应当严格控制举办规模和经费支出。</w:t>
      </w:r>
    </w:p>
    <w:p w14:paraId="4B115E2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" w:firstLine="52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</w:pPr>
      <w:r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  <w:t>各类学生、党员等活动的举办应事先有审批，事后有审核。</w:t>
      </w:r>
      <w:r>
        <w:rPr>
          <w:rFonts w:hint="eastAsia" w:ascii="仿宋_GB2312" w:hAnsi="仿宋_GB2312" w:eastAsia="仿宋_GB2312" w:cs="仿宋_GB2312"/>
          <w:b/>
          <w:bCs/>
          <w:spacing w:val="10"/>
          <w:sz w:val="24"/>
          <w:szCs w:val="24"/>
          <w:shd w:val="clear" w:color="auto" w:fill="auto"/>
        </w:rPr>
        <w:t>严禁以活动名义发放各种纪念品及日用品，奖品金额人均不超过100元，不得随意发放活动奖励金，活动奖励支出原则上不得超过总活动支出的20%。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  <w:t>开展活动购买的服装原则上应重复利用，尽量租借，单价超过一千的，或者达到大批同类物资标准的需办理入库手续。活动物资的发放均需领购人签字并由项目负责人审核。</w:t>
      </w:r>
    </w:p>
    <w:p w14:paraId="01CF6D6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" w:firstLine="52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</w:pPr>
      <w:r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  <w:t>请各单位、各部门提高政治站位，全面贯彻落实党中央、国务院、财政部和教育部关于“过紧日子”工作要求，要紧密结合“不忘初心、牢记使命”主题教育成果，不断强化“过紧日子”的思想自觉和行动自觉，调动各方面积极性，将行动落实到位，为全面加强学校高质量发展和“双一流”建设提供更加强有力的保障。</w:t>
      </w:r>
    </w:p>
    <w:p w14:paraId="7335B5AF">
      <w:bookmarkStart w:id="1" w:name="_GoBack"/>
      <w:bookmarkEnd w:id="1"/>
    </w:p>
    <w:p w14:paraId="3ADFC8B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" w:firstLine="560" w:firstLineChars="200"/>
        <w:textAlignment w:val="auto"/>
        <w:outlineLvl w:val="9"/>
      </w:pPr>
    </w:p>
    <w:p w14:paraId="1715EEE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" w:firstLine="52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0"/>
          <w:sz w:val="24"/>
          <w:szCs w:val="24"/>
          <w:shd w:val="clear" w:color="auto" w:fill="auto"/>
        </w:rPr>
      </w:pPr>
    </w:p>
    <w:sectPr>
      <w:headerReference r:id="rId3" w:type="default"/>
      <w:footerReference r:id="rId4" w:type="default"/>
      <w:pgSz w:w="11906" w:h="16838"/>
      <w:pgMar w:top="1417" w:right="1474" w:bottom="1417" w:left="1474" w:header="851" w:footer="992" w:gutter="0"/>
      <w:pgNumType w:fmt="decimal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309A78-EB24-4AAF-96DE-55CCC8222F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5267EA2-AC3F-4199-87B6-CAA6CC8E775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EF59CE2-BC41-46AD-96C1-89FB1D9BFD7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BA10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1" name="文本框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7F63E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82AzAgAAYwQAAA4AAABkcnMvZTJvRG9jLnhtbK1UzY7TMBC+I/EO&#10;lu80aRGrUj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1TYphGx08/vp9+&#10;Ppx+fSM4g0CNCzPE3TtExvadbTE2w3nAYeLdVl6nLxgR+CHv8SKvaCPh6dJ0Mp3mcHH4hg3ws8fr&#10;zof4XlhNklFQj/51srLDJsQ+dAhJ2YxdS6W6HipDmoJevX6T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82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7F63E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08856">
    <w:pPr>
      <w:pStyle w:val="12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isplayBackgroundShape w:val="1"/>
  <w:embedTrueTypeFonts/>
  <w:saveSubsetFonts/>
  <w:bordersDoNotSurroundHeader w:val="0"/>
  <w:bordersDoNotSurroundFooter w:val="0"/>
  <w:documentProtection w:enforcement="0"/>
  <w:defaultTabStop w:val="419"/>
  <w:drawingGridHorizontalSpacing w:val="160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4MDIzZWJhYmJlZjEwODQyOTQxZWIyZjUxZDNmODAifQ=="/>
  </w:docVars>
  <w:rsids>
    <w:rsidRoot w:val="5C74349A"/>
    <w:rsid w:val="00115453"/>
    <w:rsid w:val="002145EF"/>
    <w:rsid w:val="00226453"/>
    <w:rsid w:val="00331CC4"/>
    <w:rsid w:val="005D032C"/>
    <w:rsid w:val="006B0359"/>
    <w:rsid w:val="008E5902"/>
    <w:rsid w:val="009E19B5"/>
    <w:rsid w:val="00A82AE6"/>
    <w:rsid w:val="00AF162D"/>
    <w:rsid w:val="00BF0427"/>
    <w:rsid w:val="00DC7D9F"/>
    <w:rsid w:val="00F14EF9"/>
    <w:rsid w:val="01BF2DE3"/>
    <w:rsid w:val="01C60288"/>
    <w:rsid w:val="01F45920"/>
    <w:rsid w:val="021D4F45"/>
    <w:rsid w:val="02C10E79"/>
    <w:rsid w:val="04893A0E"/>
    <w:rsid w:val="055B3806"/>
    <w:rsid w:val="05F01366"/>
    <w:rsid w:val="06663A8F"/>
    <w:rsid w:val="077B33A4"/>
    <w:rsid w:val="0ABF49AF"/>
    <w:rsid w:val="0B2B4625"/>
    <w:rsid w:val="0BAE0408"/>
    <w:rsid w:val="0CCF543B"/>
    <w:rsid w:val="0D6C63EB"/>
    <w:rsid w:val="0D9F6EB0"/>
    <w:rsid w:val="0EA1103E"/>
    <w:rsid w:val="10F72839"/>
    <w:rsid w:val="11B4482B"/>
    <w:rsid w:val="125A606E"/>
    <w:rsid w:val="13661412"/>
    <w:rsid w:val="140B1C7C"/>
    <w:rsid w:val="1468384A"/>
    <w:rsid w:val="148B7538"/>
    <w:rsid w:val="16390A99"/>
    <w:rsid w:val="168801D3"/>
    <w:rsid w:val="16C805D0"/>
    <w:rsid w:val="173D2BB9"/>
    <w:rsid w:val="178509F6"/>
    <w:rsid w:val="182E681F"/>
    <w:rsid w:val="18551C83"/>
    <w:rsid w:val="19F51100"/>
    <w:rsid w:val="1BA84E74"/>
    <w:rsid w:val="1BD9327F"/>
    <w:rsid w:val="1DF35130"/>
    <w:rsid w:val="1ECF1FB6"/>
    <w:rsid w:val="1F144F13"/>
    <w:rsid w:val="1F182311"/>
    <w:rsid w:val="1F8E5386"/>
    <w:rsid w:val="1F9B17C5"/>
    <w:rsid w:val="22486F33"/>
    <w:rsid w:val="22CB13AC"/>
    <w:rsid w:val="235D4796"/>
    <w:rsid w:val="24A3267C"/>
    <w:rsid w:val="24EE5A3D"/>
    <w:rsid w:val="253D6AC7"/>
    <w:rsid w:val="2606778B"/>
    <w:rsid w:val="26C8461C"/>
    <w:rsid w:val="26DB7EAB"/>
    <w:rsid w:val="27716366"/>
    <w:rsid w:val="27C44DE4"/>
    <w:rsid w:val="28017DE6"/>
    <w:rsid w:val="28435434"/>
    <w:rsid w:val="29310257"/>
    <w:rsid w:val="294A6DC7"/>
    <w:rsid w:val="2A092F82"/>
    <w:rsid w:val="2A391AB9"/>
    <w:rsid w:val="2A44220C"/>
    <w:rsid w:val="2AC82E3D"/>
    <w:rsid w:val="2B233137"/>
    <w:rsid w:val="2B9E76FA"/>
    <w:rsid w:val="2BA764FD"/>
    <w:rsid w:val="2C372428"/>
    <w:rsid w:val="2E0E6DB8"/>
    <w:rsid w:val="2E137B25"/>
    <w:rsid w:val="2E1F0FC6"/>
    <w:rsid w:val="2ECC4011"/>
    <w:rsid w:val="2ECF2625"/>
    <w:rsid w:val="30635196"/>
    <w:rsid w:val="317258B0"/>
    <w:rsid w:val="33B71CA0"/>
    <w:rsid w:val="34611741"/>
    <w:rsid w:val="34C5219B"/>
    <w:rsid w:val="36CE7C5D"/>
    <w:rsid w:val="385C3726"/>
    <w:rsid w:val="38D238BE"/>
    <w:rsid w:val="3A107D9E"/>
    <w:rsid w:val="3A465B2C"/>
    <w:rsid w:val="3A833686"/>
    <w:rsid w:val="3AC25A37"/>
    <w:rsid w:val="3B2C2F74"/>
    <w:rsid w:val="3C6978B0"/>
    <w:rsid w:val="3C7544A7"/>
    <w:rsid w:val="3CD25361"/>
    <w:rsid w:val="3D4D31B2"/>
    <w:rsid w:val="3D6A058B"/>
    <w:rsid w:val="3DE23579"/>
    <w:rsid w:val="3E62740C"/>
    <w:rsid w:val="3ECE17E0"/>
    <w:rsid w:val="3EF60E82"/>
    <w:rsid w:val="40031490"/>
    <w:rsid w:val="41E66187"/>
    <w:rsid w:val="44CB735A"/>
    <w:rsid w:val="451D26E6"/>
    <w:rsid w:val="45F12DF0"/>
    <w:rsid w:val="460074D7"/>
    <w:rsid w:val="465B042A"/>
    <w:rsid w:val="47F07ED4"/>
    <w:rsid w:val="484E560D"/>
    <w:rsid w:val="48C14CB2"/>
    <w:rsid w:val="48E75E5B"/>
    <w:rsid w:val="49307A8A"/>
    <w:rsid w:val="4AA3675C"/>
    <w:rsid w:val="4C0669B0"/>
    <w:rsid w:val="4CED7F85"/>
    <w:rsid w:val="4D695962"/>
    <w:rsid w:val="4D8F6AAD"/>
    <w:rsid w:val="4DAE5A6A"/>
    <w:rsid w:val="4E067654"/>
    <w:rsid w:val="4E535EF2"/>
    <w:rsid w:val="4E682E87"/>
    <w:rsid w:val="4F42290E"/>
    <w:rsid w:val="51BF4EAC"/>
    <w:rsid w:val="527E1EAF"/>
    <w:rsid w:val="53426F62"/>
    <w:rsid w:val="53A9529E"/>
    <w:rsid w:val="55767A90"/>
    <w:rsid w:val="55FF023A"/>
    <w:rsid w:val="56B16294"/>
    <w:rsid w:val="577F7419"/>
    <w:rsid w:val="57CA5A63"/>
    <w:rsid w:val="5B08767C"/>
    <w:rsid w:val="5B161085"/>
    <w:rsid w:val="5B2B51C6"/>
    <w:rsid w:val="5B462503"/>
    <w:rsid w:val="5B9E2C7A"/>
    <w:rsid w:val="5C74349A"/>
    <w:rsid w:val="5C806824"/>
    <w:rsid w:val="5CB40A98"/>
    <w:rsid w:val="5CCE5E15"/>
    <w:rsid w:val="5CEF6F58"/>
    <w:rsid w:val="5D170D88"/>
    <w:rsid w:val="5E171282"/>
    <w:rsid w:val="5F625EF5"/>
    <w:rsid w:val="604C600A"/>
    <w:rsid w:val="61AB4343"/>
    <w:rsid w:val="63185211"/>
    <w:rsid w:val="633C409B"/>
    <w:rsid w:val="63CF6AC6"/>
    <w:rsid w:val="63F57AF7"/>
    <w:rsid w:val="64803282"/>
    <w:rsid w:val="65AC73D3"/>
    <w:rsid w:val="67FD51CC"/>
    <w:rsid w:val="681D14B0"/>
    <w:rsid w:val="6A8B4D12"/>
    <w:rsid w:val="6A9003E9"/>
    <w:rsid w:val="6C0D0235"/>
    <w:rsid w:val="6C4046DD"/>
    <w:rsid w:val="6C4A1A45"/>
    <w:rsid w:val="6DE956D2"/>
    <w:rsid w:val="707A5D67"/>
    <w:rsid w:val="708A1EB9"/>
    <w:rsid w:val="711C66C3"/>
    <w:rsid w:val="716835E4"/>
    <w:rsid w:val="71D96059"/>
    <w:rsid w:val="725D4D68"/>
    <w:rsid w:val="726D5A47"/>
    <w:rsid w:val="72E41BB7"/>
    <w:rsid w:val="73A656A9"/>
    <w:rsid w:val="73D7228F"/>
    <w:rsid w:val="751A2FAE"/>
    <w:rsid w:val="77100E2B"/>
    <w:rsid w:val="775A6197"/>
    <w:rsid w:val="77FD7DD3"/>
    <w:rsid w:val="79BD2A0E"/>
    <w:rsid w:val="7A5A025C"/>
    <w:rsid w:val="7B551150"/>
    <w:rsid w:val="7B9E4D4A"/>
    <w:rsid w:val="7BAB1AAD"/>
    <w:rsid w:val="7D641B1E"/>
    <w:rsid w:val="7E6B3D88"/>
    <w:rsid w:val="7ED52BA2"/>
    <w:rsid w:val="7FDB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3"/>
      <w:ind w:left="1001" w:right="1140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ind w:left="681"/>
      <w:outlineLvl w:val="1"/>
    </w:pPr>
    <w:rPr>
      <w:rFonts w:ascii="宋体" w:hAnsi="宋体" w:eastAsia="宋体" w:cs="宋体"/>
      <w:b/>
      <w:bCs/>
      <w:sz w:val="28"/>
      <w:lang w:val="zh-CN" w:bidi="zh-CN"/>
    </w:rPr>
  </w:style>
  <w:style w:type="paragraph" w:styleId="4">
    <w:name w:val="heading 3"/>
    <w:basedOn w:val="1"/>
    <w:next w:val="1"/>
    <w:link w:val="23"/>
    <w:unhideWhenUsed/>
    <w:qFormat/>
    <w:uiPriority w:val="0"/>
    <w:pPr>
      <w:spacing w:before="150" w:line="560" w:lineRule="exact"/>
      <w:outlineLvl w:val="2"/>
    </w:pPr>
    <w:rPr>
      <w:rFonts w:hAnsi="仿宋_GB2312"/>
      <w:b/>
      <w:sz w:val="30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next w:val="1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link w:val="25"/>
    <w:qFormat/>
    <w:uiPriority w:val="0"/>
    <w:pPr>
      <w:jc w:val="left"/>
    </w:pPr>
  </w:style>
  <w:style w:type="paragraph" w:styleId="8">
    <w:name w:val="Body Text"/>
    <w:basedOn w:val="1"/>
    <w:qFormat/>
    <w:uiPriority w:val="0"/>
    <w:rPr>
      <w:rFonts w:ascii="宋体" w:hAnsi="宋体" w:eastAsia="宋体" w:cs="宋体"/>
      <w:sz w:val="28"/>
      <w:lang w:val="zh-CN" w:bidi="zh-CN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Normal (Web)"/>
    <w:basedOn w:val="1"/>
    <w:qFormat/>
    <w:uiPriority w:val="0"/>
    <w:rPr>
      <w:rFonts w:asciiTheme="minorHAnsi" w:eastAsiaTheme="minorEastAsia"/>
      <w:sz w:val="24"/>
      <w:szCs w:val="24"/>
    </w:rPr>
  </w:style>
  <w:style w:type="paragraph" w:styleId="16">
    <w:name w:val="annotation subject"/>
    <w:basedOn w:val="7"/>
    <w:next w:val="7"/>
    <w:link w:val="26"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basedOn w:val="19"/>
    <w:qFormat/>
    <w:uiPriority w:val="0"/>
    <w:rPr>
      <w:color w:val="800080"/>
      <w:u w:val="single"/>
    </w:rPr>
  </w:style>
  <w:style w:type="character" w:styleId="21">
    <w:name w:val="Hyperlink"/>
    <w:basedOn w:val="19"/>
    <w:qFormat/>
    <w:uiPriority w:val="0"/>
    <w:rPr>
      <w:rFonts w:ascii="仿宋_GB2312" w:hAnsi="仿宋_GB2312" w:eastAsia="仿宋_GB2312"/>
      <w:color w:val="000000" w:themeColor="text1"/>
      <w:sz w:val="24"/>
      <w:u w:val="none"/>
      <w14:textFill>
        <w14:solidFill>
          <w14:schemeClr w14:val="tx1"/>
        </w14:solidFill>
      </w14:textFill>
    </w:rPr>
  </w:style>
  <w:style w:type="character" w:styleId="22">
    <w:name w:val="annotation reference"/>
    <w:basedOn w:val="19"/>
    <w:qFormat/>
    <w:uiPriority w:val="0"/>
    <w:rPr>
      <w:sz w:val="21"/>
      <w:szCs w:val="21"/>
    </w:rPr>
  </w:style>
  <w:style w:type="character" w:customStyle="1" w:styleId="23">
    <w:name w:val="标题 3 Char"/>
    <w:link w:val="4"/>
    <w:qFormat/>
    <w:uiPriority w:val="0"/>
    <w:rPr>
      <w:rFonts w:ascii="仿宋_GB2312" w:hAnsi="仿宋_GB2312" w:eastAsia="仿宋_GB2312" w:cstheme="minorBidi"/>
      <w:b/>
      <w:kern w:val="2"/>
      <w:sz w:val="30"/>
      <w:szCs w:val="28"/>
      <w:lang w:val="en-US" w:eastAsia="zh-CN" w:bidi="ar-SA"/>
    </w:rPr>
  </w:style>
  <w:style w:type="paragraph" w:customStyle="1" w:styleId="24">
    <w:name w:val="列表段落1"/>
    <w:basedOn w:val="1"/>
    <w:qFormat/>
    <w:uiPriority w:val="34"/>
    <w:pPr>
      <w:ind w:firstLine="420" w:firstLineChars="200"/>
    </w:pPr>
  </w:style>
  <w:style w:type="character" w:customStyle="1" w:styleId="25">
    <w:name w:val="批注文字 字符"/>
    <w:basedOn w:val="19"/>
    <w:link w:val="7"/>
    <w:semiHidden/>
    <w:qFormat/>
    <w:uiPriority w:val="99"/>
  </w:style>
  <w:style w:type="character" w:customStyle="1" w:styleId="26">
    <w:name w:val="批注主题 字符"/>
    <w:basedOn w:val="25"/>
    <w:link w:val="16"/>
    <w:semiHidden/>
    <w:qFormat/>
    <w:uiPriority w:val="99"/>
    <w:rPr>
      <w:b/>
      <w:bCs/>
    </w:rPr>
  </w:style>
  <w:style w:type="character" w:customStyle="1" w:styleId="27">
    <w:name w:val="批注框文本 字符"/>
    <w:basedOn w:val="19"/>
    <w:link w:val="10"/>
    <w:semiHidden/>
    <w:qFormat/>
    <w:uiPriority w:val="99"/>
    <w:rPr>
      <w:sz w:val="18"/>
      <w:szCs w:val="18"/>
    </w:rPr>
  </w:style>
  <w:style w:type="character" w:customStyle="1" w:styleId="28">
    <w:name w:val="页眉 字符"/>
    <w:basedOn w:val="19"/>
    <w:link w:val="12"/>
    <w:qFormat/>
    <w:uiPriority w:val="99"/>
    <w:rPr>
      <w:sz w:val="18"/>
      <w:szCs w:val="18"/>
    </w:rPr>
  </w:style>
  <w:style w:type="character" w:customStyle="1" w:styleId="29">
    <w:name w:val="页脚 字符"/>
    <w:basedOn w:val="19"/>
    <w:link w:val="11"/>
    <w:qFormat/>
    <w:uiPriority w:val="99"/>
    <w:rPr>
      <w:sz w:val="18"/>
      <w:szCs w:val="18"/>
    </w:rPr>
  </w:style>
  <w:style w:type="character" w:customStyle="1" w:styleId="30">
    <w:name w:val="未处理的提及1"/>
    <w:basedOn w:val="19"/>
    <w:unhideWhenUsed/>
    <w:qFormat/>
    <w:uiPriority w:val="99"/>
    <w:rPr>
      <w:color w:val="605E5C"/>
      <w:shd w:val="clear" w:color="auto" w:fill="E1DFDD"/>
    </w:rPr>
  </w:style>
  <w:style w:type="table" w:customStyle="1" w:styleId="31">
    <w:name w:val="网格型1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网格型2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网格型3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4"/>
    <w:basedOn w:val="17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5">
    <w:name w:val="列表段落11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黑体"/>
      <w:sz w:val="21"/>
      <w:szCs w:val="22"/>
    </w:rPr>
  </w:style>
  <w:style w:type="table" w:customStyle="1" w:styleId="36">
    <w:name w:val="网格型5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修订1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customStyle="1" w:styleId="38">
    <w:name w:val="修订2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table" w:customStyle="1" w:styleId="39">
    <w:name w:val="Table Normal"/>
    <w:qFormat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Unresolved Mention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styleId="41">
    <w:name w:val="List Paragraph"/>
    <w:basedOn w:val="1"/>
    <w:semiHidden/>
    <w:unhideWhenUsed/>
    <w:qFormat/>
    <w:uiPriority w:val="99"/>
    <w:pPr>
      <w:ind w:firstLine="420" w:firstLineChars="200"/>
    </w:pPr>
  </w:style>
  <w:style w:type="paragraph" w:customStyle="1" w:styleId="4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3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4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775</Words>
  <Characters>784</Characters>
  <Lines>269</Lines>
  <Paragraphs>75</Paragraphs>
  <TotalTime>0</TotalTime>
  <ScaleCrop>false</ScaleCrop>
  <LinksUpToDate>false</LinksUpToDate>
  <CharactersWithSpaces>790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2023-10-23T11:55:00Z</dcterms:created>
  <dc:creator>Doris</dc:creator>
  <cp:lastModifiedBy>Sisueh</cp:lastModifiedBy>
  <cp:lastPrinted>2019-11-22T03:18:00Z</cp:lastPrinted>
  <dcterms:modified xsi:type="dcterms:W3CDTF">2024-10-25T08:25:09Z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6AC9556EEA9A478EA698979B5E5DAB82_13</vt:lpwstr>
  </property>
</Properties>
</file>