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2022年拟申报省科学技术奖励项目公示表</w:t>
      </w:r>
    </w:p>
    <w:tbl>
      <w:tblPr>
        <w:tblStyle w:val="4"/>
        <w:tblW w:w="9328"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407"/>
        <w:gridCol w:w="1789"/>
        <w:gridCol w:w="1800"/>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38" w:type="dxa"/>
            <w:gridSpan w:val="2"/>
            <w:vAlign w:val="center"/>
          </w:tcPr>
          <w:p>
            <w:pPr>
              <w:jc w:val="center"/>
              <w:rPr>
                <w:rFonts w:ascii="宋体" w:hAnsi="宋体" w:cs="宋体"/>
                <w:b/>
                <w:bCs/>
                <w:sz w:val="24"/>
              </w:rPr>
            </w:pPr>
            <w:r>
              <w:rPr>
                <w:rFonts w:hint="eastAsia" w:ascii="宋体" w:hAnsi="宋体" w:cs="宋体"/>
                <w:b/>
                <w:bCs/>
                <w:sz w:val="24"/>
              </w:rPr>
              <w:t>项目名称</w:t>
            </w:r>
          </w:p>
        </w:tc>
        <w:tc>
          <w:tcPr>
            <w:tcW w:w="7190" w:type="dxa"/>
            <w:gridSpan w:val="3"/>
            <w:vAlign w:val="center"/>
          </w:tcPr>
          <w:p>
            <w:pPr>
              <w:jc w:val="center"/>
              <w:rPr>
                <w:rFonts w:ascii="宋体" w:hAnsi="宋体" w:cs="宋体"/>
                <w:sz w:val="24"/>
              </w:rPr>
            </w:pPr>
            <w:r>
              <w:rPr>
                <w:rFonts w:hint="eastAsia" w:ascii="宋体" w:hAnsi="宋体" w:cs="宋体"/>
                <w:sz w:val="24"/>
              </w:rPr>
              <w:t>高温高压油气藏井筒地球物理勘探系统及工业化应用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38" w:type="dxa"/>
            <w:gridSpan w:val="2"/>
            <w:vAlign w:val="center"/>
          </w:tcPr>
          <w:p>
            <w:pPr>
              <w:jc w:val="center"/>
              <w:rPr>
                <w:rFonts w:ascii="宋体" w:hAnsi="宋体" w:cs="宋体"/>
                <w:b/>
                <w:bCs/>
                <w:sz w:val="24"/>
              </w:rPr>
            </w:pPr>
            <w:r>
              <w:rPr>
                <w:rFonts w:hint="eastAsia" w:ascii="宋体" w:hAnsi="宋体" w:cs="宋体"/>
                <w:b/>
                <w:bCs/>
                <w:sz w:val="24"/>
              </w:rPr>
              <w:t>项目周期</w:t>
            </w:r>
          </w:p>
        </w:tc>
        <w:tc>
          <w:tcPr>
            <w:tcW w:w="7190" w:type="dxa"/>
            <w:gridSpan w:val="3"/>
            <w:vAlign w:val="center"/>
          </w:tcPr>
          <w:p>
            <w:pPr>
              <w:jc w:val="center"/>
              <w:rPr>
                <w:rFonts w:ascii="宋体" w:hAnsi="宋体" w:cs="宋体"/>
                <w:sz w:val="24"/>
              </w:rPr>
            </w:pPr>
            <w:r>
              <w:rPr>
                <w:rFonts w:hint="default" w:ascii="Times New Roman" w:hAnsi="Times New Roman" w:cs="Times New Roman"/>
                <w:sz w:val="24"/>
              </w:rPr>
              <w:t>2013年1月～2018年12月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38" w:type="dxa"/>
            <w:gridSpan w:val="2"/>
            <w:vAlign w:val="center"/>
          </w:tcPr>
          <w:p>
            <w:pPr>
              <w:jc w:val="center"/>
              <w:rPr>
                <w:rFonts w:ascii="宋体" w:hAnsi="宋体" w:cs="宋体"/>
                <w:b/>
                <w:bCs/>
                <w:sz w:val="24"/>
              </w:rPr>
            </w:pPr>
            <w:r>
              <w:rPr>
                <w:rFonts w:hint="eastAsia" w:ascii="宋体" w:hAnsi="宋体" w:cs="宋体"/>
                <w:b/>
                <w:bCs/>
                <w:sz w:val="24"/>
              </w:rPr>
              <w:t>提名奖项等级</w:t>
            </w:r>
          </w:p>
        </w:tc>
        <w:tc>
          <w:tcPr>
            <w:tcW w:w="7190" w:type="dxa"/>
            <w:gridSpan w:val="3"/>
            <w:vAlign w:val="center"/>
          </w:tcPr>
          <w:p>
            <w:pPr>
              <w:jc w:val="center"/>
              <w:rPr>
                <w:rFonts w:ascii="宋体" w:hAnsi="宋体" w:cs="宋体"/>
                <w:sz w:val="24"/>
              </w:rPr>
            </w:pPr>
            <w:r>
              <w:rPr>
                <w:rFonts w:ascii="宋体" w:hAnsi="宋体" w:cs="宋体"/>
                <w:sz w:val="24"/>
              </w:rPr>
              <w:t>浙江省科学技术进步奖</w:t>
            </w:r>
            <w:r>
              <w:rPr>
                <w:rFonts w:hint="eastAsia" w:ascii="宋体" w:hAnsi="宋体" w:cs="宋体"/>
                <w:sz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328" w:type="dxa"/>
            <w:gridSpan w:val="5"/>
            <w:vAlign w:val="center"/>
          </w:tcPr>
          <w:p>
            <w:pPr>
              <w:jc w:val="center"/>
              <w:rPr>
                <w:rFonts w:ascii="宋体" w:hAnsi="宋体" w:cs="宋体"/>
                <w:b/>
                <w:sz w:val="24"/>
              </w:rPr>
            </w:pPr>
            <w:r>
              <w:rPr>
                <w:rFonts w:hint="eastAsia" w:ascii="宋体" w:hAnsi="宋体" w:cs="宋体"/>
                <w:b/>
                <w:sz w:val="24"/>
              </w:rPr>
              <w:t>主要完成单位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38" w:type="dxa"/>
            <w:gridSpan w:val="2"/>
            <w:vAlign w:val="center"/>
          </w:tcPr>
          <w:p>
            <w:pPr>
              <w:jc w:val="center"/>
              <w:rPr>
                <w:rFonts w:ascii="宋体" w:hAnsi="宋体" w:cs="宋体"/>
                <w:b/>
                <w:bCs/>
                <w:sz w:val="24"/>
              </w:rPr>
            </w:pPr>
            <w:r>
              <w:rPr>
                <w:rFonts w:hint="eastAsia" w:ascii="宋体" w:hAnsi="宋体" w:cs="宋体"/>
                <w:b/>
                <w:bCs/>
                <w:sz w:val="24"/>
              </w:rPr>
              <w:t>序号</w:t>
            </w:r>
          </w:p>
        </w:tc>
        <w:tc>
          <w:tcPr>
            <w:tcW w:w="7190" w:type="dxa"/>
            <w:gridSpan w:val="3"/>
            <w:vAlign w:val="center"/>
          </w:tcPr>
          <w:p>
            <w:pPr>
              <w:jc w:val="center"/>
              <w:rPr>
                <w:rFonts w:ascii="宋体" w:hAnsi="宋体" w:cs="宋体"/>
                <w:b/>
                <w:bCs/>
                <w:sz w:val="24"/>
              </w:rPr>
            </w:pPr>
            <w:r>
              <w:rPr>
                <w:rFonts w:hint="eastAsia" w:ascii="宋体" w:hAnsi="宋体" w:cs="宋体"/>
                <w:b/>
                <w:bCs/>
                <w:sz w:val="24"/>
              </w:rPr>
              <w:t>单 位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38" w:type="dxa"/>
            <w:gridSpan w:val="2"/>
            <w:vAlign w:val="center"/>
          </w:tcPr>
          <w:p>
            <w:pPr>
              <w:jc w:val="center"/>
              <w:rPr>
                <w:sz w:val="24"/>
              </w:rPr>
            </w:pPr>
            <w:r>
              <w:rPr>
                <w:sz w:val="24"/>
              </w:rPr>
              <w:t>1</w:t>
            </w:r>
          </w:p>
        </w:tc>
        <w:tc>
          <w:tcPr>
            <w:tcW w:w="7190" w:type="dxa"/>
            <w:gridSpan w:val="3"/>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杭州丰禾石油科技有限公司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38" w:type="dxa"/>
            <w:gridSpan w:val="2"/>
            <w:vAlign w:val="center"/>
          </w:tcPr>
          <w:p>
            <w:pPr>
              <w:jc w:val="center"/>
              <w:rPr>
                <w:sz w:val="24"/>
              </w:rPr>
            </w:pPr>
            <w:r>
              <w:rPr>
                <w:sz w:val="24"/>
              </w:rPr>
              <w:t>2</w:t>
            </w:r>
          </w:p>
        </w:tc>
        <w:tc>
          <w:tcPr>
            <w:tcW w:w="7190" w:type="dxa"/>
            <w:gridSpan w:val="3"/>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中国地质大学（北京）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38" w:type="dxa"/>
            <w:gridSpan w:val="2"/>
            <w:vAlign w:val="center"/>
          </w:tcPr>
          <w:p>
            <w:pPr>
              <w:jc w:val="center"/>
              <w:rPr>
                <w:sz w:val="24"/>
              </w:rPr>
            </w:pPr>
            <w:r>
              <w:rPr>
                <w:rFonts w:hint="eastAsia"/>
                <w:sz w:val="24"/>
              </w:rPr>
              <w:t>3</w:t>
            </w:r>
          </w:p>
        </w:tc>
        <w:tc>
          <w:tcPr>
            <w:tcW w:w="7190" w:type="dxa"/>
            <w:gridSpan w:val="3"/>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中国石油化工股份有限公司石油工程技术研究院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38" w:type="dxa"/>
            <w:gridSpan w:val="2"/>
            <w:vAlign w:val="center"/>
          </w:tcPr>
          <w:p>
            <w:pPr>
              <w:jc w:val="center"/>
              <w:rPr>
                <w:sz w:val="24"/>
              </w:rPr>
            </w:pPr>
            <w:r>
              <w:rPr>
                <w:rFonts w:hint="eastAsia"/>
                <w:sz w:val="24"/>
              </w:rPr>
              <w:t>4</w:t>
            </w:r>
          </w:p>
        </w:tc>
        <w:tc>
          <w:tcPr>
            <w:tcW w:w="7190" w:type="dxa"/>
            <w:gridSpan w:val="3"/>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中国石油化工股份有限公司华北油气分公司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38" w:type="dxa"/>
            <w:gridSpan w:val="2"/>
            <w:vAlign w:val="center"/>
          </w:tcPr>
          <w:p>
            <w:pPr>
              <w:jc w:val="center"/>
              <w:rPr>
                <w:sz w:val="24"/>
              </w:rPr>
            </w:pPr>
            <w:r>
              <w:rPr>
                <w:rFonts w:hint="eastAsia"/>
                <w:sz w:val="24"/>
              </w:rPr>
              <w:t>5</w:t>
            </w:r>
          </w:p>
        </w:tc>
        <w:tc>
          <w:tcPr>
            <w:tcW w:w="7190" w:type="dxa"/>
            <w:gridSpan w:val="3"/>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中国石油化工股份有限公司西北油田分公司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38" w:type="dxa"/>
            <w:gridSpan w:val="2"/>
            <w:vAlign w:val="center"/>
          </w:tcPr>
          <w:p>
            <w:pPr>
              <w:jc w:val="center"/>
              <w:rPr>
                <w:sz w:val="24"/>
              </w:rPr>
            </w:pPr>
            <w:r>
              <w:rPr>
                <w:rFonts w:hint="eastAsia"/>
                <w:sz w:val="24"/>
              </w:rPr>
              <w:t>6</w:t>
            </w:r>
          </w:p>
        </w:tc>
        <w:tc>
          <w:tcPr>
            <w:tcW w:w="7190" w:type="dxa"/>
            <w:gridSpan w:val="3"/>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中石化经纬有限公司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328" w:type="dxa"/>
            <w:gridSpan w:val="5"/>
            <w:vAlign w:val="center"/>
          </w:tcPr>
          <w:p>
            <w:pPr>
              <w:jc w:val="center"/>
              <w:rPr>
                <w:rFonts w:ascii="宋体" w:hAnsi="宋体" w:cs="宋体"/>
                <w:b/>
                <w:sz w:val="24"/>
              </w:rPr>
            </w:pPr>
            <w:r>
              <w:rPr>
                <w:rFonts w:hint="eastAsia" w:ascii="宋体" w:hAnsi="宋体" w:cs="宋体"/>
                <w:b/>
                <w:sz w:val="24"/>
              </w:rPr>
              <w:t>主要完成人员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31" w:type="dxa"/>
            <w:vAlign w:val="center"/>
          </w:tcPr>
          <w:p>
            <w:pPr>
              <w:jc w:val="center"/>
              <w:rPr>
                <w:b/>
                <w:bCs/>
                <w:sz w:val="24"/>
              </w:rPr>
            </w:pPr>
            <w:r>
              <w:rPr>
                <w:b/>
                <w:bCs/>
                <w:sz w:val="24"/>
              </w:rPr>
              <w:t>排名</w:t>
            </w:r>
          </w:p>
        </w:tc>
        <w:tc>
          <w:tcPr>
            <w:tcW w:w="1407" w:type="dxa"/>
            <w:vAlign w:val="center"/>
          </w:tcPr>
          <w:p>
            <w:pPr>
              <w:jc w:val="center"/>
              <w:rPr>
                <w:b/>
                <w:bCs/>
                <w:sz w:val="24"/>
              </w:rPr>
            </w:pPr>
            <w:r>
              <w:rPr>
                <w:b/>
                <w:bCs/>
                <w:sz w:val="24"/>
              </w:rPr>
              <w:t>姓名</w:t>
            </w:r>
          </w:p>
        </w:tc>
        <w:tc>
          <w:tcPr>
            <w:tcW w:w="1789" w:type="dxa"/>
            <w:vAlign w:val="center"/>
          </w:tcPr>
          <w:p>
            <w:pPr>
              <w:jc w:val="center"/>
              <w:rPr>
                <w:b/>
                <w:bCs/>
                <w:sz w:val="24"/>
              </w:rPr>
            </w:pPr>
            <w:r>
              <w:rPr>
                <w:b/>
                <w:bCs/>
                <w:sz w:val="24"/>
              </w:rPr>
              <w:t>技术职称</w:t>
            </w:r>
          </w:p>
        </w:tc>
        <w:tc>
          <w:tcPr>
            <w:tcW w:w="1800" w:type="dxa"/>
            <w:vAlign w:val="center"/>
          </w:tcPr>
          <w:p>
            <w:pPr>
              <w:jc w:val="center"/>
              <w:rPr>
                <w:b/>
                <w:bCs/>
                <w:sz w:val="24"/>
              </w:rPr>
            </w:pPr>
            <w:r>
              <w:rPr>
                <w:b/>
                <w:bCs/>
                <w:sz w:val="24"/>
              </w:rPr>
              <w:t>文化程度</w:t>
            </w:r>
          </w:p>
        </w:tc>
        <w:tc>
          <w:tcPr>
            <w:tcW w:w="3601" w:type="dxa"/>
            <w:vAlign w:val="center"/>
          </w:tcPr>
          <w:p>
            <w:pPr>
              <w:jc w:val="center"/>
              <w:rPr>
                <w:b/>
                <w:bCs/>
                <w:sz w:val="24"/>
              </w:rPr>
            </w:pPr>
            <w:r>
              <w:rPr>
                <w:b/>
                <w:bCs/>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31" w:type="dxa"/>
            <w:vAlign w:val="center"/>
          </w:tcPr>
          <w:p>
            <w:pPr>
              <w:jc w:val="center"/>
              <w:rPr>
                <w:sz w:val="24"/>
              </w:rPr>
            </w:pPr>
            <w:r>
              <w:rPr>
                <w:sz w:val="24"/>
              </w:rPr>
              <w:t>1</w:t>
            </w:r>
          </w:p>
        </w:tc>
        <w:tc>
          <w:tcPr>
            <w:tcW w:w="1407" w:type="dxa"/>
            <w:vAlign w:val="center"/>
          </w:tcPr>
          <w:p>
            <w:pPr>
              <w:widowControl/>
              <w:jc w:val="center"/>
              <w:textAlignment w:val="center"/>
              <w:rPr>
                <w:sz w:val="24"/>
              </w:rPr>
            </w:pPr>
            <w:r>
              <w:rPr>
                <w:rFonts w:hint="eastAsia" w:ascii="宋体" w:hAnsi="宋体" w:cs="宋体"/>
                <w:color w:val="000000"/>
                <w:kern w:val="0"/>
                <w:sz w:val="24"/>
                <w:lang w:bidi="ar"/>
              </w:rPr>
              <w:t>李立伟</w:t>
            </w:r>
          </w:p>
        </w:tc>
        <w:tc>
          <w:tcPr>
            <w:tcW w:w="1789" w:type="dxa"/>
            <w:vAlign w:val="center"/>
          </w:tcPr>
          <w:p>
            <w:pPr>
              <w:widowControl/>
              <w:jc w:val="center"/>
              <w:textAlignment w:val="center"/>
              <w:rPr>
                <w:sz w:val="24"/>
              </w:rPr>
            </w:pPr>
            <w:r>
              <w:rPr>
                <w:rFonts w:hint="eastAsia" w:ascii="宋体" w:hAnsi="宋体" w:cs="宋体"/>
                <w:color w:val="000000"/>
                <w:kern w:val="0"/>
                <w:sz w:val="24"/>
                <w:lang w:bidi="ar"/>
              </w:rPr>
              <w:t>高级工程师</w:t>
            </w:r>
          </w:p>
        </w:tc>
        <w:tc>
          <w:tcPr>
            <w:tcW w:w="1800" w:type="dxa"/>
            <w:vAlign w:val="center"/>
          </w:tcPr>
          <w:p>
            <w:pPr>
              <w:widowControl/>
              <w:jc w:val="center"/>
              <w:textAlignment w:val="center"/>
              <w:rPr>
                <w:sz w:val="24"/>
              </w:rPr>
            </w:pPr>
            <w:r>
              <w:rPr>
                <w:rFonts w:hint="eastAsia" w:ascii="宋体" w:hAnsi="宋体" w:cs="宋体"/>
                <w:color w:val="000000"/>
                <w:kern w:val="0"/>
                <w:sz w:val="24"/>
                <w:lang w:bidi="ar"/>
              </w:rPr>
              <w:t>本科</w:t>
            </w:r>
          </w:p>
        </w:tc>
        <w:tc>
          <w:tcPr>
            <w:tcW w:w="3601" w:type="dxa"/>
            <w:vAlign w:val="center"/>
          </w:tcPr>
          <w:p>
            <w:pPr>
              <w:widowControl/>
              <w:jc w:val="center"/>
              <w:textAlignment w:val="center"/>
              <w:rPr>
                <w:sz w:val="24"/>
              </w:rPr>
            </w:pPr>
            <w:r>
              <w:rPr>
                <w:rFonts w:hint="eastAsia" w:ascii="宋体" w:hAnsi="宋体" w:cs="宋体"/>
                <w:color w:val="000000"/>
                <w:kern w:val="0"/>
                <w:sz w:val="24"/>
                <w:lang w:bidi="ar"/>
              </w:rPr>
              <w:t>杭州丰禾石油科技有限公司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31" w:type="dxa"/>
            <w:vAlign w:val="center"/>
          </w:tcPr>
          <w:p>
            <w:pPr>
              <w:jc w:val="center"/>
              <w:rPr>
                <w:sz w:val="24"/>
              </w:rPr>
            </w:pPr>
            <w:r>
              <w:rPr>
                <w:sz w:val="24"/>
              </w:rPr>
              <w:t>2</w:t>
            </w:r>
          </w:p>
        </w:tc>
        <w:tc>
          <w:tcPr>
            <w:tcW w:w="1407" w:type="dxa"/>
            <w:vAlign w:val="center"/>
          </w:tcPr>
          <w:p>
            <w:pPr>
              <w:widowControl/>
              <w:jc w:val="center"/>
              <w:textAlignment w:val="center"/>
              <w:rPr>
                <w:sz w:val="24"/>
              </w:rPr>
            </w:pPr>
            <w:r>
              <w:rPr>
                <w:rFonts w:hint="eastAsia" w:ascii="宋体" w:hAnsi="宋体" w:cs="宋体"/>
                <w:color w:val="000000"/>
                <w:kern w:val="0"/>
                <w:sz w:val="24"/>
                <w:lang w:bidi="ar"/>
              </w:rPr>
              <w:t>谭茂金</w:t>
            </w:r>
          </w:p>
        </w:tc>
        <w:tc>
          <w:tcPr>
            <w:tcW w:w="1789" w:type="dxa"/>
            <w:vAlign w:val="center"/>
          </w:tcPr>
          <w:p>
            <w:pPr>
              <w:widowControl/>
              <w:jc w:val="center"/>
              <w:textAlignment w:val="center"/>
              <w:rPr>
                <w:sz w:val="24"/>
              </w:rPr>
            </w:pPr>
            <w:r>
              <w:rPr>
                <w:rFonts w:hint="eastAsia" w:ascii="宋体" w:hAnsi="宋体" w:cs="宋体"/>
                <w:color w:val="000000"/>
                <w:kern w:val="0"/>
                <w:sz w:val="24"/>
                <w:lang w:bidi="ar"/>
              </w:rPr>
              <w:t>教授</w:t>
            </w:r>
          </w:p>
        </w:tc>
        <w:tc>
          <w:tcPr>
            <w:tcW w:w="1800" w:type="dxa"/>
            <w:vAlign w:val="center"/>
          </w:tcPr>
          <w:p>
            <w:pPr>
              <w:widowControl/>
              <w:jc w:val="center"/>
              <w:textAlignment w:val="center"/>
              <w:rPr>
                <w:sz w:val="24"/>
              </w:rPr>
            </w:pPr>
            <w:r>
              <w:rPr>
                <w:rFonts w:hint="eastAsia" w:ascii="宋体" w:hAnsi="宋体" w:cs="宋体"/>
                <w:color w:val="000000"/>
                <w:kern w:val="0"/>
                <w:sz w:val="24"/>
                <w:lang w:bidi="ar"/>
              </w:rPr>
              <w:t>博士</w:t>
            </w:r>
          </w:p>
        </w:tc>
        <w:tc>
          <w:tcPr>
            <w:tcW w:w="3601" w:type="dxa"/>
            <w:vAlign w:val="center"/>
          </w:tcPr>
          <w:p>
            <w:pPr>
              <w:widowControl/>
              <w:jc w:val="center"/>
              <w:textAlignment w:val="center"/>
              <w:rPr>
                <w:sz w:val="24"/>
              </w:rPr>
            </w:pPr>
            <w:r>
              <w:rPr>
                <w:rFonts w:hint="eastAsia" w:ascii="宋体" w:hAnsi="宋体" w:cs="宋体"/>
                <w:color w:val="000000"/>
                <w:kern w:val="0"/>
                <w:sz w:val="24"/>
                <w:lang w:bidi="ar"/>
              </w:rPr>
              <w:t>中国地质大学（北京）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31" w:type="dxa"/>
            <w:vAlign w:val="center"/>
          </w:tcPr>
          <w:p>
            <w:pPr>
              <w:jc w:val="center"/>
              <w:rPr>
                <w:sz w:val="24"/>
              </w:rPr>
            </w:pPr>
            <w:r>
              <w:rPr>
                <w:sz w:val="24"/>
              </w:rPr>
              <w:t>3</w:t>
            </w:r>
          </w:p>
        </w:tc>
        <w:tc>
          <w:tcPr>
            <w:tcW w:w="1407" w:type="dxa"/>
            <w:vAlign w:val="center"/>
          </w:tcPr>
          <w:p>
            <w:pPr>
              <w:widowControl/>
              <w:jc w:val="center"/>
              <w:textAlignment w:val="center"/>
              <w:rPr>
                <w:sz w:val="24"/>
              </w:rPr>
            </w:pPr>
            <w:r>
              <w:rPr>
                <w:rFonts w:hint="eastAsia" w:ascii="宋体" w:hAnsi="宋体" w:cs="宋体"/>
                <w:color w:val="000000"/>
                <w:kern w:val="0"/>
                <w:sz w:val="24"/>
                <w:lang w:bidi="ar"/>
              </w:rPr>
              <w:t>谢关宝</w:t>
            </w:r>
          </w:p>
        </w:tc>
        <w:tc>
          <w:tcPr>
            <w:tcW w:w="1789" w:type="dxa"/>
            <w:vAlign w:val="center"/>
          </w:tcPr>
          <w:p>
            <w:pPr>
              <w:widowControl/>
              <w:jc w:val="center"/>
              <w:textAlignment w:val="center"/>
              <w:rPr>
                <w:sz w:val="24"/>
              </w:rPr>
            </w:pPr>
            <w:r>
              <w:rPr>
                <w:rFonts w:hint="eastAsia" w:ascii="宋体" w:hAnsi="宋体" w:cs="宋体"/>
                <w:color w:val="000000"/>
                <w:kern w:val="0"/>
                <w:sz w:val="24"/>
                <w:lang w:bidi="ar"/>
              </w:rPr>
              <w:t>高级工程师</w:t>
            </w:r>
          </w:p>
        </w:tc>
        <w:tc>
          <w:tcPr>
            <w:tcW w:w="1800" w:type="dxa"/>
            <w:vAlign w:val="center"/>
          </w:tcPr>
          <w:p>
            <w:pPr>
              <w:widowControl/>
              <w:jc w:val="center"/>
              <w:textAlignment w:val="center"/>
              <w:rPr>
                <w:sz w:val="24"/>
              </w:rPr>
            </w:pPr>
            <w:r>
              <w:rPr>
                <w:rFonts w:hint="eastAsia" w:ascii="宋体" w:hAnsi="宋体" w:cs="宋体"/>
                <w:color w:val="000000"/>
                <w:kern w:val="0"/>
                <w:sz w:val="24"/>
                <w:lang w:bidi="ar"/>
              </w:rPr>
              <w:t>博士</w:t>
            </w:r>
          </w:p>
        </w:tc>
        <w:tc>
          <w:tcPr>
            <w:tcW w:w="3601" w:type="dxa"/>
            <w:vAlign w:val="center"/>
          </w:tcPr>
          <w:p>
            <w:pPr>
              <w:widowControl/>
              <w:jc w:val="center"/>
              <w:textAlignment w:val="center"/>
              <w:rPr>
                <w:sz w:val="24"/>
              </w:rPr>
            </w:pPr>
            <w:r>
              <w:rPr>
                <w:rFonts w:hint="eastAsia" w:ascii="宋体" w:hAnsi="宋体" w:cs="宋体"/>
                <w:color w:val="000000"/>
                <w:kern w:val="0"/>
                <w:sz w:val="24"/>
                <w:lang w:bidi="ar"/>
              </w:rPr>
              <w:t>中国石油化工股份有限公司石油工程技术研究院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31" w:type="dxa"/>
            <w:vAlign w:val="center"/>
          </w:tcPr>
          <w:p>
            <w:pPr>
              <w:jc w:val="center"/>
              <w:rPr>
                <w:sz w:val="24"/>
              </w:rPr>
            </w:pPr>
            <w:r>
              <w:rPr>
                <w:sz w:val="24"/>
              </w:rPr>
              <w:t>4</w:t>
            </w:r>
          </w:p>
        </w:tc>
        <w:tc>
          <w:tcPr>
            <w:tcW w:w="1407" w:type="dxa"/>
            <w:vAlign w:val="center"/>
          </w:tcPr>
          <w:p>
            <w:pPr>
              <w:widowControl/>
              <w:jc w:val="center"/>
              <w:textAlignment w:val="center"/>
              <w:rPr>
                <w:sz w:val="24"/>
              </w:rPr>
            </w:pPr>
            <w:r>
              <w:rPr>
                <w:rFonts w:hint="eastAsia" w:ascii="宋体" w:hAnsi="宋体" w:cs="宋体"/>
                <w:color w:val="000000"/>
                <w:kern w:val="0"/>
                <w:sz w:val="24"/>
                <w:lang w:bidi="ar"/>
              </w:rPr>
              <w:t>何云</w:t>
            </w:r>
          </w:p>
        </w:tc>
        <w:tc>
          <w:tcPr>
            <w:tcW w:w="1789" w:type="dxa"/>
            <w:vAlign w:val="center"/>
          </w:tcPr>
          <w:p>
            <w:pPr>
              <w:widowControl/>
              <w:jc w:val="center"/>
              <w:textAlignment w:val="center"/>
              <w:rPr>
                <w:sz w:val="24"/>
              </w:rPr>
            </w:pPr>
            <w:r>
              <w:rPr>
                <w:rFonts w:hint="eastAsia" w:ascii="宋体" w:hAnsi="宋体" w:cs="宋体"/>
                <w:color w:val="000000"/>
                <w:kern w:val="0"/>
                <w:sz w:val="24"/>
                <w:lang w:bidi="ar"/>
              </w:rPr>
              <w:t>高级工程师</w:t>
            </w:r>
          </w:p>
        </w:tc>
        <w:tc>
          <w:tcPr>
            <w:tcW w:w="1800" w:type="dxa"/>
            <w:vAlign w:val="center"/>
          </w:tcPr>
          <w:p>
            <w:pPr>
              <w:widowControl/>
              <w:jc w:val="center"/>
              <w:textAlignment w:val="center"/>
              <w:rPr>
                <w:sz w:val="24"/>
              </w:rPr>
            </w:pPr>
            <w:r>
              <w:rPr>
                <w:rFonts w:hint="eastAsia" w:ascii="宋体" w:hAnsi="宋体" w:cs="宋体"/>
                <w:color w:val="000000"/>
                <w:kern w:val="0"/>
                <w:sz w:val="24"/>
                <w:lang w:bidi="ar"/>
              </w:rPr>
              <w:t>硕士</w:t>
            </w:r>
          </w:p>
        </w:tc>
        <w:tc>
          <w:tcPr>
            <w:tcW w:w="3601" w:type="dxa"/>
            <w:vAlign w:val="center"/>
          </w:tcPr>
          <w:p>
            <w:pPr>
              <w:widowControl/>
              <w:jc w:val="center"/>
              <w:textAlignment w:val="center"/>
              <w:rPr>
                <w:sz w:val="24"/>
              </w:rPr>
            </w:pPr>
            <w:r>
              <w:rPr>
                <w:rFonts w:hint="eastAsia" w:ascii="宋体" w:hAnsi="宋体" w:cs="宋体"/>
                <w:color w:val="000000"/>
                <w:kern w:val="0"/>
                <w:sz w:val="24"/>
                <w:lang w:bidi="ar"/>
              </w:rPr>
              <w:t>中国石油化工股份有限公司华北油气分公司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31" w:type="dxa"/>
            <w:vAlign w:val="center"/>
          </w:tcPr>
          <w:p>
            <w:pPr>
              <w:jc w:val="center"/>
              <w:rPr>
                <w:sz w:val="24"/>
              </w:rPr>
            </w:pPr>
            <w:r>
              <w:rPr>
                <w:sz w:val="24"/>
              </w:rPr>
              <w:t>5</w:t>
            </w:r>
          </w:p>
        </w:tc>
        <w:tc>
          <w:tcPr>
            <w:tcW w:w="1407" w:type="dxa"/>
            <w:vAlign w:val="center"/>
          </w:tcPr>
          <w:p>
            <w:pPr>
              <w:widowControl/>
              <w:jc w:val="center"/>
              <w:textAlignment w:val="center"/>
              <w:rPr>
                <w:sz w:val="24"/>
              </w:rPr>
            </w:pPr>
            <w:r>
              <w:rPr>
                <w:rFonts w:hint="eastAsia" w:ascii="宋体" w:hAnsi="宋体" w:cs="宋体"/>
                <w:color w:val="000000"/>
                <w:kern w:val="0"/>
                <w:sz w:val="24"/>
                <w:lang w:bidi="ar"/>
              </w:rPr>
              <w:t>张钰</w:t>
            </w:r>
          </w:p>
        </w:tc>
        <w:tc>
          <w:tcPr>
            <w:tcW w:w="1789" w:type="dxa"/>
            <w:vAlign w:val="center"/>
          </w:tcPr>
          <w:p>
            <w:pPr>
              <w:widowControl/>
              <w:jc w:val="center"/>
              <w:textAlignment w:val="center"/>
              <w:rPr>
                <w:sz w:val="24"/>
              </w:rPr>
            </w:pPr>
            <w:r>
              <w:rPr>
                <w:rFonts w:hint="eastAsia" w:ascii="宋体" w:hAnsi="宋体" w:cs="宋体"/>
                <w:color w:val="000000"/>
                <w:kern w:val="0"/>
                <w:sz w:val="24"/>
                <w:lang w:bidi="ar"/>
              </w:rPr>
              <w:t>高级工程师</w:t>
            </w:r>
          </w:p>
        </w:tc>
        <w:tc>
          <w:tcPr>
            <w:tcW w:w="1800" w:type="dxa"/>
            <w:vAlign w:val="center"/>
          </w:tcPr>
          <w:p>
            <w:pPr>
              <w:widowControl/>
              <w:jc w:val="center"/>
              <w:textAlignment w:val="center"/>
              <w:rPr>
                <w:sz w:val="24"/>
              </w:rPr>
            </w:pPr>
            <w:r>
              <w:rPr>
                <w:rFonts w:hint="eastAsia" w:ascii="宋体" w:hAnsi="宋体" w:cs="宋体"/>
                <w:color w:val="000000"/>
                <w:kern w:val="0"/>
                <w:sz w:val="24"/>
                <w:lang w:bidi="ar"/>
              </w:rPr>
              <w:t>本科</w:t>
            </w:r>
          </w:p>
        </w:tc>
        <w:tc>
          <w:tcPr>
            <w:tcW w:w="3601" w:type="dxa"/>
            <w:vAlign w:val="center"/>
          </w:tcPr>
          <w:p>
            <w:pPr>
              <w:widowControl/>
              <w:jc w:val="center"/>
              <w:textAlignment w:val="center"/>
              <w:rPr>
                <w:sz w:val="24"/>
              </w:rPr>
            </w:pPr>
            <w:r>
              <w:rPr>
                <w:rFonts w:hint="eastAsia" w:ascii="宋体" w:hAnsi="宋体" w:cs="宋体"/>
                <w:color w:val="000000"/>
                <w:kern w:val="0"/>
                <w:sz w:val="24"/>
                <w:lang w:bidi="ar"/>
              </w:rPr>
              <w:t>中国石油化工股份有限公司西北油田分公司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31" w:type="dxa"/>
            <w:vAlign w:val="center"/>
          </w:tcPr>
          <w:p>
            <w:pPr>
              <w:jc w:val="center"/>
              <w:rPr>
                <w:sz w:val="24"/>
              </w:rPr>
            </w:pPr>
            <w:r>
              <w:rPr>
                <w:sz w:val="24"/>
              </w:rPr>
              <w:t>6</w:t>
            </w:r>
          </w:p>
        </w:tc>
        <w:tc>
          <w:tcPr>
            <w:tcW w:w="1407" w:type="dxa"/>
            <w:vAlign w:val="center"/>
          </w:tcPr>
          <w:p>
            <w:pPr>
              <w:widowControl/>
              <w:jc w:val="center"/>
              <w:textAlignment w:val="center"/>
              <w:rPr>
                <w:sz w:val="24"/>
              </w:rPr>
            </w:pPr>
            <w:r>
              <w:rPr>
                <w:rFonts w:hint="eastAsia" w:ascii="宋体" w:hAnsi="宋体" w:cs="宋体"/>
                <w:color w:val="000000"/>
                <w:kern w:val="0"/>
                <w:sz w:val="24"/>
                <w:lang w:bidi="ar"/>
              </w:rPr>
              <w:t>王京平</w:t>
            </w:r>
          </w:p>
        </w:tc>
        <w:tc>
          <w:tcPr>
            <w:tcW w:w="1789" w:type="dxa"/>
            <w:vAlign w:val="center"/>
          </w:tcPr>
          <w:p>
            <w:pPr>
              <w:widowControl/>
              <w:jc w:val="center"/>
              <w:textAlignment w:val="center"/>
              <w:rPr>
                <w:sz w:val="24"/>
              </w:rPr>
            </w:pPr>
            <w:r>
              <w:rPr>
                <w:rFonts w:hint="eastAsia" w:ascii="宋体" w:hAnsi="宋体" w:cs="宋体"/>
                <w:color w:val="000000"/>
                <w:kern w:val="0"/>
                <w:sz w:val="24"/>
                <w:lang w:bidi="ar"/>
              </w:rPr>
              <w:t>高级工程师</w:t>
            </w:r>
          </w:p>
        </w:tc>
        <w:tc>
          <w:tcPr>
            <w:tcW w:w="1800" w:type="dxa"/>
            <w:vAlign w:val="center"/>
          </w:tcPr>
          <w:p>
            <w:pPr>
              <w:widowControl/>
              <w:jc w:val="center"/>
              <w:textAlignment w:val="center"/>
              <w:rPr>
                <w:sz w:val="24"/>
              </w:rPr>
            </w:pPr>
            <w:r>
              <w:rPr>
                <w:rFonts w:hint="eastAsia" w:ascii="宋体" w:hAnsi="宋体" w:cs="宋体"/>
                <w:color w:val="000000"/>
                <w:kern w:val="0"/>
                <w:sz w:val="24"/>
                <w:lang w:bidi="ar"/>
              </w:rPr>
              <w:t>本科</w:t>
            </w:r>
          </w:p>
        </w:tc>
        <w:tc>
          <w:tcPr>
            <w:tcW w:w="3601" w:type="dxa"/>
            <w:vAlign w:val="center"/>
          </w:tcPr>
          <w:p>
            <w:pPr>
              <w:widowControl/>
              <w:jc w:val="center"/>
              <w:textAlignment w:val="center"/>
              <w:rPr>
                <w:sz w:val="24"/>
              </w:rPr>
            </w:pPr>
            <w:r>
              <w:rPr>
                <w:rFonts w:hint="eastAsia" w:ascii="宋体" w:hAnsi="宋体" w:cs="宋体"/>
                <w:color w:val="000000"/>
                <w:kern w:val="0"/>
                <w:sz w:val="24"/>
                <w:lang w:bidi="ar"/>
              </w:rPr>
              <w:t>中石化经纬有限公司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31" w:type="dxa"/>
            <w:vAlign w:val="center"/>
          </w:tcPr>
          <w:p>
            <w:pPr>
              <w:jc w:val="center"/>
              <w:rPr>
                <w:sz w:val="24"/>
              </w:rPr>
            </w:pPr>
            <w:r>
              <w:rPr>
                <w:sz w:val="24"/>
              </w:rPr>
              <w:t>7</w:t>
            </w:r>
          </w:p>
        </w:tc>
        <w:tc>
          <w:tcPr>
            <w:tcW w:w="1407" w:type="dxa"/>
            <w:vAlign w:val="center"/>
          </w:tcPr>
          <w:p>
            <w:pPr>
              <w:widowControl/>
              <w:jc w:val="center"/>
              <w:textAlignment w:val="center"/>
              <w:rPr>
                <w:sz w:val="24"/>
              </w:rPr>
            </w:pPr>
            <w:r>
              <w:rPr>
                <w:rFonts w:hint="eastAsia" w:ascii="宋体" w:hAnsi="宋体" w:cs="宋体"/>
                <w:color w:val="000000"/>
                <w:kern w:val="0"/>
                <w:sz w:val="24"/>
                <w:lang w:bidi="ar"/>
              </w:rPr>
              <w:t>李三国</w:t>
            </w:r>
          </w:p>
        </w:tc>
        <w:tc>
          <w:tcPr>
            <w:tcW w:w="1789" w:type="dxa"/>
            <w:vAlign w:val="center"/>
          </w:tcPr>
          <w:p>
            <w:pPr>
              <w:widowControl/>
              <w:jc w:val="center"/>
              <w:textAlignment w:val="center"/>
              <w:rPr>
                <w:sz w:val="24"/>
              </w:rPr>
            </w:pPr>
            <w:r>
              <w:rPr>
                <w:rFonts w:hint="eastAsia" w:ascii="宋体" w:hAnsi="宋体" w:cs="宋体"/>
                <w:color w:val="000000"/>
                <w:kern w:val="0"/>
                <w:sz w:val="24"/>
                <w:lang w:bidi="ar"/>
              </w:rPr>
              <w:t>高级工程师</w:t>
            </w:r>
          </w:p>
        </w:tc>
        <w:tc>
          <w:tcPr>
            <w:tcW w:w="1800" w:type="dxa"/>
            <w:vAlign w:val="center"/>
          </w:tcPr>
          <w:p>
            <w:pPr>
              <w:widowControl/>
              <w:jc w:val="center"/>
              <w:textAlignment w:val="center"/>
              <w:rPr>
                <w:sz w:val="24"/>
              </w:rPr>
            </w:pPr>
            <w:r>
              <w:rPr>
                <w:rFonts w:hint="eastAsia" w:ascii="宋体" w:hAnsi="宋体" w:cs="宋体"/>
                <w:color w:val="000000"/>
                <w:kern w:val="0"/>
                <w:sz w:val="24"/>
                <w:lang w:bidi="ar"/>
              </w:rPr>
              <w:t>博士</w:t>
            </w:r>
          </w:p>
        </w:tc>
        <w:tc>
          <w:tcPr>
            <w:tcW w:w="3601" w:type="dxa"/>
            <w:vAlign w:val="center"/>
          </w:tcPr>
          <w:p>
            <w:pPr>
              <w:widowControl/>
              <w:jc w:val="center"/>
              <w:textAlignment w:val="center"/>
              <w:rPr>
                <w:sz w:val="24"/>
              </w:rPr>
            </w:pPr>
            <w:r>
              <w:rPr>
                <w:rFonts w:hint="eastAsia" w:ascii="宋体" w:hAnsi="宋体" w:cs="宋体"/>
                <w:color w:val="000000"/>
                <w:kern w:val="0"/>
                <w:sz w:val="24"/>
                <w:lang w:bidi="ar"/>
              </w:rPr>
              <w:t>中国石油化工股份有限公司石油工程技术研究院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31" w:type="dxa"/>
            <w:vAlign w:val="center"/>
          </w:tcPr>
          <w:p>
            <w:pPr>
              <w:jc w:val="center"/>
              <w:rPr>
                <w:sz w:val="24"/>
              </w:rPr>
            </w:pPr>
            <w:r>
              <w:rPr>
                <w:sz w:val="24"/>
              </w:rPr>
              <w:t>8</w:t>
            </w:r>
          </w:p>
        </w:tc>
        <w:tc>
          <w:tcPr>
            <w:tcW w:w="1407" w:type="dxa"/>
            <w:vAlign w:val="center"/>
          </w:tcPr>
          <w:p>
            <w:pPr>
              <w:widowControl/>
              <w:jc w:val="center"/>
              <w:textAlignment w:val="center"/>
              <w:rPr>
                <w:sz w:val="24"/>
              </w:rPr>
            </w:pPr>
            <w:r>
              <w:rPr>
                <w:rFonts w:hint="eastAsia" w:ascii="宋体" w:hAnsi="宋体" w:cs="宋体"/>
                <w:color w:val="000000"/>
                <w:kern w:val="0"/>
                <w:sz w:val="24"/>
                <w:lang w:bidi="ar"/>
              </w:rPr>
              <w:t>崔光</w:t>
            </w:r>
          </w:p>
        </w:tc>
        <w:tc>
          <w:tcPr>
            <w:tcW w:w="1789" w:type="dxa"/>
            <w:vAlign w:val="center"/>
          </w:tcPr>
          <w:p>
            <w:pPr>
              <w:widowControl/>
              <w:jc w:val="center"/>
              <w:textAlignment w:val="center"/>
              <w:rPr>
                <w:sz w:val="24"/>
              </w:rPr>
            </w:pPr>
            <w:r>
              <w:rPr>
                <w:rFonts w:hint="eastAsia" w:ascii="宋体" w:hAnsi="宋体" w:cs="宋体"/>
                <w:color w:val="000000"/>
                <w:kern w:val="0"/>
                <w:sz w:val="24"/>
                <w:lang w:bidi="ar"/>
              </w:rPr>
              <w:t>高级工程师</w:t>
            </w:r>
          </w:p>
        </w:tc>
        <w:tc>
          <w:tcPr>
            <w:tcW w:w="1800" w:type="dxa"/>
            <w:vAlign w:val="center"/>
          </w:tcPr>
          <w:p>
            <w:pPr>
              <w:widowControl/>
              <w:jc w:val="center"/>
              <w:textAlignment w:val="center"/>
              <w:rPr>
                <w:sz w:val="24"/>
              </w:rPr>
            </w:pPr>
            <w:r>
              <w:rPr>
                <w:rFonts w:hint="eastAsia" w:ascii="宋体" w:hAnsi="宋体" w:cs="宋体"/>
                <w:color w:val="000000"/>
                <w:kern w:val="0"/>
                <w:sz w:val="24"/>
                <w:lang w:bidi="ar"/>
              </w:rPr>
              <w:t>本科</w:t>
            </w:r>
          </w:p>
        </w:tc>
        <w:tc>
          <w:tcPr>
            <w:tcW w:w="3601" w:type="dxa"/>
            <w:vAlign w:val="center"/>
          </w:tcPr>
          <w:p>
            <w:pPr>
              <w:widowControl/>
              <w:jc w:val="center"/>
              <w:textAlignment w:val="center"/>
              <w:rPr>
                <w:sz w:val="24"/>
              </w:rPr>
            </w:pPr>
            <w:r>
              <w:rPr>
                <w:rFonts w:hint="eastAsia" w:ascii="宋体" w:hAnsi="宋体" w:cs="宋体"/>
                <w:color w:val="000000"/>
                <w:kern w:val="0"/>
                <w:sz w:val="24"/>
                <w:lang w:bidi="ar"/>
              </w:rPr>
              <w:t>中国石油化工股份有限公司西北油田分公司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31" w:type="dxa"/>
            <w:vAlign w:val="center"/>
          </w:tcPr>
          <w:p>
            <w:pPr>
              <w:jc w:val="center"/>
              <w:rPr>
                <w:sz w:val="24"/>
              </w:rPr>
            </w:pPr>
            <w:r>
              <w:rPr>
                <w:sz w:val="24"/>
              </w:rPr>
              <w:t>9</w:t>
            </w:r>
          </w:p>
        </w:tc>
        <w:tc>
          <w:tcPr>
            <w:tcW w:w="1407" w:type="dxa"/>
            <w:vAlign w:val="center"/>
          </w:tcPr>
          <w:p>
            <w:pPr>
              <w:widowControl/>
              <w:jc w:val="center"/>
              <w:textAlignment w:val="center"/>
              <w:rPr>
                <w:sz w:val="24"/>
              </w:rPr>
            </w:pPr>
            <w:r>
              <w:rPr>
                <w:rFonts w:hint="eastAsia" w:ascii="宋体" w:hAnsi="宋体" w:cs="宋体"/>
                <w:color w:val="000000"/>
                <w:kern w:val="0"/>
                <w:sz w:val="24"/>
                <w:lang w:bidi="ar"/>
              </w:rPr>
              <w:t>张良琪</w:t>
            </w:r>
          </w:p>
        </w:tc>
        <w:tc>
          <w:tcPr>
            <w:tcW w:w="1789" w:type="dxa"/>
            <w:vAlign w:val="center"/>
          </w:tcPr>
          <w:p>
            <w:pPr>
              <w:widowControl/>
              <w:jc w:val="center"/>
              <w:textAlignment w:val="center"/>
              <w:rPr>
                <w:sz w:val="24"/>
              </w:rPr>
            </w:pPr>
            <w:r>
              <w:rPr>
                <w:rFonts w:hint="eastAsia" w:ascii="宋体" w:hAnsi="宋体" w:cs="宋体"/>
                <w:color w:val="000000"/>
                <w:kern w:val="0"/>
                <w:sz w:val="24"/>
                <w:lang w:bidi="ar"/>
              </w:rPr>
              <w:t>高级工程师</w:t>
            </w:r>
          </w:p>
        </w:tc>
        <w:tc>
          <w:tcPr>
            <w:tcW w:w="1800" w:type="dxa"/>
            <w:vAlign w:val="center"/>
          </w:tcPr>
          <w:p>
            <w:pPr>
              <w:widowControl/>
              <w:jc w:val="center"/>
              <w:textAlignment w:val="center"/>
              <w:rPr>
                <w:sz w:val="24"/>
              </w:rPr>
            </w:pPr>
            <w:r>
              <w:rPr>
                <w:rFonts w:hint="eastAsia" w:ascii="宋体" w:hAnsi="宋体" w:cs="宋体"/>
                <w:color w:val="000000"/>
                <w:kern w:val="0"/>
                <w:sz w:val="24"/>
                <w:lang w:bidi="ar"/>
              </w:rPr>
              <w:t>本科</w:t>
            </w:r>
          </w:p>
        </w:tc>
        <w:tc>
          <w:tcPr>
            <w:tcW w:w="3601" w:type="dxa"/>
            <w:vAlign w:val="center"/>
          </w:tcPr>
          <w:p>
            <w:pPr>
              <w:widowControl/>
              <w:jc w:val="center"/>
              <w:textAlignment w:val="center"/>
              <w:rPr>
                <w:sz w:val="24"/>
              </w:rPr>
            </w:pPr>
            <w:r>
              <w:rPr>
                <w:rFonts w:hint="eastAsia" w:ascii="宋体" w:hAnsi="宋体" w:cs="宋体"/>
                <w:color w:val="000000"/>
                <w:kern w:val="0"/>
                <w:sz w:val="24"/>
                <w:lang w:bidi="ar"/>
              </w:rPr>
              <w:t>杭州丰禾石油科技有限公司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7" w:hRule="atLeast"/>
        </w:trPr>
        <w:tc>
          <w:tcPr>
            <w:tcW w:w="2138" w:type="dxa"/>
            <w:gridSpan w:val="2"/>
            <w:vAlign w:val="center"/>
          </w:tcPr>
          <w:p>
            <w:pPr>
              <w:jc w:val="center"/>
              <w:rPr>
                <w:rFonts w:ascii="宋体" w:hAnsi="宋体" w:cs="宋体"/>
                <w:sz w:val="24"/>
              </w:rPr>
            </w:pPr>
            <w:r>
              <w:rPr>
                <w:rFonts w:hint="eastAsia" w:ascii="宋体" w:hAnsi="宋体" w:cs="宋体"/>
                <w:b/>
                <w:bCs/>
                <w:color w:val="000000"/>
                <w:kern w:val="0"/>
                <w:sz w:val="24"/>
              </w:rPr>
              <w:t>项目简介</w:t>
            </w:r>
          </w:p>
        </w:tc>
        <w:tc>
          <w:tcPr>
            <w:tcW w:w="7190" w:type="dxa"/>
            <w:gridSpan w:val="3"/>
            <w:vAlign w:val="center"/>
          </w:tcPr>
          <w:p>
            <w:pPr>
              <w:ind w:firstLine="480" w:firstLineChars="200"/>
              <w:jc w:val="left"/>
              <w:rPr>
                <w:rFonts w:ascii="宋体" w:hAnsi="宋体" w:cs="宋体"/>
                <w:color w:val="000000"/>
                <w:kern w:val="0"/>
                <w:sz w:val="24"/>
              </w:rPr>
            </w:pPr>
            <w:r>
              <w:rPr>
                <w:rFonts w:hint="eastAsia" w:ascii="宋体" w:hAnsi="宋体" w:cs="宋体"/>
                <w:color w:val="000000"/>
                <w:kern w:val="0"/>
                <w:sz w:val="24"/>
              </w:rPr>
              <w:t>我国深层油气资源丰富，勘探潜力巨大，已成为国家能源战略的重点。深层油气藏具</w:t>
            </w:r>
            <w:r>
              <w:rPr>
                <w:rFonts w:hint="default" w:ascii="Times New Roman" w:hAnsi="Times New Roman" w:cs="Times New Roman"/>
                <w:color w:val="000000"/>
                <w:kern w:val="0"/>
                <w:sz w:val="24"/>
              </w:rPr>
              <w:t>有高温高压、低孔、低渗等特点，现有地球物理测井、录井等井筒探测手段普遍存在以下几个难题：①信</w:t>
            </w:r>
            <w:r>
              <w:rPr>
                <w:rFonts w:hint="eastAsia" w:ascii="宋体" w:hAnsi="宋体" w:cs="宋体"/>
                <w:color w:val="000000"/>
                <w:kern w:val="0"/>
                <w:sz w:val="24"/>
              </w:rPr>
              <w:t>息获取困难。井筒数据采集系统型号多、兼容性差，井下仪器耐温、耐压不足，不能精确获取深部高温地层地球理资料，对深部构造的“照明”强度较低；</w:t>
            </w:r>
            <w:r>
              <w:rPr>
                <w:rFonts w:hint="default" w:ascii="Times New Roman" w:hAnsi="Times New Roman" w:cs="Times New Roman"/>
                <w:color w:val="000000"/>
                <w:kern w:val="0"/>
                <w:sz w:val="24"/>
              </w:rPr>
              <w:t>②信息特征不明显。探测仪器性能适应性不好、深部油气藏类型多、岩性复杂等原因，其地球物理响应特征不明，容易造成地层构造或油气层误判；③信</w:t>
            </w:r>
            <w:r>
              <w:rPr>
                <w:rFonts w:hint="eastAsia" w:ascii="宋体" w:hAnsi="宋体" w:cs="宋体"/>
                <w:color w:val="000000"/>
                <w:kern w:val="0"/>
                <w:sz w:val="24"/>
              </w:rPr>
              <w:t>息处理分析手段不足。探测信息来源复杂、数据特征不明显，缺少针对性解释评价技术及多学科信息融合综合分析平台。</w:t>
            </w:r>
          </w:p>
          <w:p>
            <w:pPr>
              <w:ind w:firstLine="480" w:firstLineChars="200"/>
              <w:jc w:val="left"/>
              <w:rPr>
                <w:rFonts w:hint="default" w:ascii="Times New Roman" w:hAnsi="Times New Roman" w:cs="Times New Roman"/>
                <w:color w:val="000000"/>
                <w:kern w:val="0"/>
                <w:sz w:val="24"/>
              </w:rPr>
            </w:pPr>
            <w:r>
              <w:rPr>
                <w:rFonts w:hint="eastAsia" w:ascii="宋体" w:hAnsi="宋体" w:cs="宋体"/>
                <w:color w:val="000000"/>
                <w:kern w:val="0"/>
                <w:sz w:val="24"/>
              </w:rPr>
              <w:t>在国家科技重大专项、国家自然科学基金、浙江省制造业首台（套）装备</w:t>
            </w:r>
            <w:r>
              <w:rPr>
                <w:rFonts w:hint="eastAsia" w:ascii="宋体" w:hAnsi="宋体" w:cs="宋体"/>
                <w:color w:val="000000"/>
                <w:kern w:val="0"/>
                <w:sz w:val="24"/>
                <w:lang w:val="en-US" w:eastAsia="zh-CN"/>
              </w:rPr>
              <w:t>认定</w:t>
            </w:r>
            <w:r>
              <w:rPr>
                <w:rFonts w:hint="eastAsia" w:ascii="宋体" w:hAnsi="宋体" w:cs="宋体"/>
                <w:color w:val="000000"/>
                <w:kern w:val="0"/>
                <w:sz w:val="24"/>
              </w:rPr>
              <w:t>等</w:t>
            </w:r>
            <w:r>
              <w:rPr>
                <w:rFonts w:hint="eastAsia" w:ascii="宋体" w:hAnsi="宋体" w:cs="宋体"/>
                <w:color w:val="000000"/>
                <w:kern w:val="0"/>
                <w:sz w:val="24"/>
                <w:lang w:val="en-US" w:eastAsia="zh-CN"/>
              </w:rPr>
              <w:t>项目</w:t>
            </w:r>
            <w:r>
              <w:rPr>
                <w:rFonts w:hint="eastAsia" w:ascii="宋体" w:hAnsi="宋体" w:cs="宋体"/>
                <w:color w:val="000000"/>
                <w:kern w:val="0"/>
                <w:sz w:val="24"/>
              </w:rPr>
              <w:t>支持下，历</w:t>
            </w:r>
            <w:r>
              <w:rPr>
                <w:rFonts w:hint="default" w:ascii="Times New Roman" w:hAnsi="Times New Roman" w:cs="Times New Roman"/>
                <w:color w:val="000000"/>
                <w:kern w:val="0"/>
                <w:sz w:val="24"/>
              </w:rPr>
              <w:t>经6年科</w:t>
            </w:r>
            <w:r>
              <w:rPr>
                <w:rFonts w:hint="eastAsia" w:ascii="宋体" w:hAnsi="宋体" w:cs="宋体"/>
                <w:color w:val="000000"/>
                <w:kern w:val="0"/>
                <w:sz w:val="24"/>
              </w:rPr>
              <w:t>研攻关，创新提出了深层、超深层探测理论</w:t>
            </w:r>
            <w:bookmarkStart w:id="0" w:name="_GoBack"/>
            <w:bookmarkEnd w:id="0"/>
            <w:r>
              <w:rPr>
                <w:rFonts w:hint="eastAsia" w:ascii="宋体" w:hAnsi="宋体" w:cs="宋体"/>
                <w:color w:val="000000"/>
                <w:kern w:val="0"/>
                <w:sz w:val="24"/>
              </w:rPr>
              <w:t>和方法，自主研发了适应深层、超深层地球物理信息探测核心技术、系列仪器和软件产品，技术总体达到国际先进水平。主要有以下</w:t>
            </w:r>
            <w:r>
              <w:rPr>
                <w:rFonts w:hint="default" w:ascii="Times New Roman" w:hAnsi="Times New Roman" w:cs="Times New Roman"/>
                <w:color w:val="000000"/>
                <w:kern w:val="0"/>
                <w:sz w:val="24"/>
              </w:rPr>
              <w:t>3项创新成果：</w:t>
            </w:r>
          </w:p>
          <w:p>
            <w:pPr>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国内首创网络化高兼容测井数据采集系统、耐高温高压井下仪器及油气定量检测系统。网络化高兼容测井数据采集系统解决了测井系统兼容性差的难题。耐高温高压井下仪器最高耐温达260℃，耐压为206MPa，实现了高温高压油气藏井筒数据高精度采集。油气定量检测助力准确识别评价高温高压和深层油气藏油气流体性质。</w:t>
            </w:r>
          </w:p>
          <w:p>
            <w:pPr>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（2）创新了复杂油气藏井筒地球物理解释方法与评价技术。针对复杂润湿碎屑岩、缝洞碳酸盐岩、多类型火成岩等油气藏，分别研发了特定问题的针对性解释方法和技术，提升复杂油气藏解释精度与评价质量。</w:t>
            </w:r>
          </w:p>
          <w:p>
            <w:pPr>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3）研发了高温高压油气藏地质工程一体化分析技术与地层评价系统。针对深部油气藏多学科信息融合程度低的问题，率先提出了一种基于大数据分析的地层三维精细预测方法与可视化技术，研发了油藏地质工程一体化分析系统，实现了多源数据融合的三维可视化精细建模与地质工程一体化分析评价。</w:t>
            </w:r>
          </w:p>
          <w:p>
            <w:pPr>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项目成果先后在中石化胜利油田、华北油气田、西北油田等国家主力油气区产业化应用，近三年产生直接经济效益约2.7亿元。累计获得发明专利21件，登记软件著作权3件，制定行业标准2项，发表论文27篇；培养博士后5名、博士研究生10余名，硕士研究生30余名，培训专业技术人员1000余人次，取得重大社会效益。</w:t>
            </w:r>
          </w:p>
          <w:p>
            <w:pPr>
              <w:ind w:firstLine="480" w:firstLineChars="200"/>
              <w:jc w:val="left"/>
              <w:rPr>
                <w:rFonts w:ascii="宋体" w:hAnsi="宋体" w:cs="宋体"/>
                <w:color w:val="000000"/>
                <w:szCs w:val="21"/>
              </w:rPr>
            </w:pPr>
            <w:r>
              <w:rPr>
                <w:rFonts w:hint="default" w:ascii="Times New Roman" w:hAnsi="Times New Roman" w:cs="Times New Roman"/>
                <w:color w:val="000000"/>
                <w:kern w:val="0"/>
                <w:sz w:val="24"/>
              </w:rPr>
              <w:t>项目成果打破了该领域高端技术的国际垄断，提升了国产高端测量装备技术水平和服务能力，为保障我国深层油气发现和产能建设发挥了重要作用，具有可观的经济和社会效益。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2138" w:type="dxa"/>
            <w:gridSpan w:val="2"/>
            <w:vAlign w:val="center"/>
          </w:tcPr>
          <w:p>
            <w:pPr>
              <w:jc w:val="center"/>
              <w:rPr>
                <w:szCs w:val="21"/>
              </w:rPr>
            </w:pPr>
            <w:r>
              <w:rPr>
                <w:b/>
                <w:bCs/>
                <w:color w:val="000000"/>
                <w:kern w:val="0"/>
                <w:sz w:val="24"/>
              </w:rPr>
              <w:t>主要知识产权证明目录</w:t>
            </w:r>
          </w:p>
        </w:tc>
        <w:tc>
          <w:tcPr>
            <w:tcW w:w="7190" w:type="dxa"/>
            <w:gridSpan w:val="3"/>
            <w:vAlign w:val="center"/>
          </w:tcPr>
          <w:p>
            <w:pPr>
              <w:rPr>
                <w:sz w:val="24"/>
              </w:rPr>
            </w:pPr>
            <w:r>
              <w:rPr>
                <w:sz w:val="24"/>
              </w:rPr>
              <w:t>1</w:t>
            </w:r>
            <w:r>
              <w:rPr>
                <w:rFonts w:hint="eastAsia"/>
                <w:sz w:val="24"/>
              </w:rPr>
              <w:t>.</w:t>
            </w:r>
            <w:r>
              <w:rPr>
                <w:sz w:val="24"/>
              </w:rPr>
              <w:t>挂接井下测井仪器的方法以及测井地面系统，ZL201310145276.4</w:t>
            </w:r>
            <w:r>
              <w:rPr>
                <w:rFonts w:hint="eastAsia"/>
                <w:sz w:val="24"/>
              </w:rPr>
              <w:t>；</w:t>
            </w:r>
          </w:p>
          <w:p>
            <w:pPr>
              <w:rPr>
                <w:sz w:val="24"/>
              </w:rPr>
            </w:pPr>
            <w:r>
              <w:rPr>
                <w:sz w:val="24"/>
              </w:rPr>
              <w:t>2</w:t>
            </w:r>
            <w:r>
              <w:rPr>
                <w:rFonts w:hint="eastAsia"/>
                <w:sz w:val="24"/>
              </w:rPr>
              <w:t>.</w:t>
            </w:r>
            <w:r>
              <w:rPr>
                <w:sz w:val="24"/>
              </w:rPr>
              <w:t>用于声波测井仪的新型隔声体测井装置及最优化设计方法，ZL201410763386.1</w:t>
            </w:r>
            <w:r>
              <w:rPr>
                <w:rFonts w:hint="eastAsia"/>
                <w:sz w:val="24"/>
              </w:rPr>
              <w:t>；</w:t>
            </w:r>
          </w:p>
          <w:p>
            <w:pPr>
              <w:rPr>
                <w:sz w:val="24"/>
              </w:rPr>
            </w:pPr>
            <w:r>
              <w:rPr>
                <w:rFonts w:hint="eastAsia"/>
                <w:sz w:val="24"/>
              </w:rPr>
              <w:t>3.</w:t>
            </w:r>
            <w:r>
              <w:rPr>
                <w:sz w:val="24"/>
              </w:rPr>
              <w:t>定量采样装置，ZL201410119278.0</w:t>
            </w:r>
            <w:r>
              <w:rPr>
                <w:rFonts w:hint="eastAsia"/>
                <w:sz w:val="24"/>
              </w:rPr>
              <w:t>；</w:t>
            </w:r>
          </w:p>
          <w:p>
            <w:pPr>
              <w:rPr>
                <w:sz w:val="24"/>
              </w:rPr>
            </w:pPr>
            <w:r>
              <w:rPr>
                <w:rFonts w:hint="eastAsia"/>
                <w:sz w:val="24"/>
              </w:rPr>
              <w:t>4.</w:t>
            </w:r>
            <w:r>
              <w:rPr>
                <w:sz w:val="24"/>
              </w:rPr>
              <w:t>油润湿致密砂岩核磁共振测井流体识别方法及图版，ZL201911021717.3</w:t>
            </w:r>
            <w:r>
              <w:rPr>
                <w:rFonts w:hint="eastAsia"/>
                <w:sz w:val="24"/>
              </w:rPr>
              <w:t>；</w:t>
            </w:r>
          </w:p>
          <w:p>
            <w:pPr>
              <w:rPr>
                <w:sz w:val="24"/>
              </w:rPr>
            </w:pPr>
            <w:r>
              <w:rPr>
                <w:rFonts w:hint="eastAsia"/>
                <w:sz w:val="24"/>
              </w:rPr>
              <w:t>5.一种基于大数据的测井资料的处理方法，ZL201510098069.7；</w:t>
            </w:r>
          </w:p>
          <w:p>
            <w:pPr>
              <w:rPr>
                <w:rFonts w:hint="default" w:ascii="Times New Roman" w:hAnsi="Times New Roman" w:cs="Times New Roman"/>
                <w:sz w:val="24"/>
              </w:rPr>
            </w:pPr>
            <w:r>
              <w:rPr>
                <w:rFonts w:hint="eastAsia"/>
                <w:sz w:val="24"/>
              </w:rPr>
              <w:t>6</w:t>
            </w:r>
            <w:r>
              <w:rPr>
                <w:rFonts w:hint="default" w:ascii="Times New Roman" w:hAnsi="Times New Roman" w:cs="Times New Roman"/>
                <w:sz w:val="24"/>
              </w:rPr>
              <w:t>.用于确定超声波随钻井径测井中一次反射回波的方法，ZL201511016503.9；</w:t>
            </w:r>
          </w:p>
          <w:p>
            <w:pPr>
              <w:rPr>
                <w:rFonts w:hint="default" w:ascii="Times New Roman" w:hAnsi="Times New Roman" w:cs="Times New Roman"/>
                <w:sz w:val="24"/>
              </w:rPr>
            </w:pPr>
            <w:r>
              <w:rPr>
                <w:rFonts w:hint="default" w:ascii="Times New Roman" w:hAnsi="Times New Roman" w:cs="Times New Roman"/>
                <w:sz w:val="24"/>
              </w:rPr>
              <w:t>7.监控井下钻头使用状况的方法，ZL201210040812.X；</w:t>
            </w:r>
          </w:p>
          <w:p>
            <w:pPr>
              <w:rPr>
                <w:sz w:val="24"/>
              </w:rPr>
            </w:pPr>
            <w:r>
              <w:rPr>
                <w:rFonts w:hint="default" w:ascii="Times New Roman" w:hAnsi="Times New Roman" w:cs="Times New Roman"/>
                <w:sz w:val="24"/>
              </w:rPr>
              <w:t>8.不同尺度缝洞碳酸盐岩测井解释软件，2018SR882683。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38" w:type="dxa"/>
            <w:gridSpan w:val="2"/>
            <w:vAlign w:val="center"/>
          </w:tcPr>
          <w:p>
            <w:pPr>
              <w:jc w:val="center"/>
              <w:rPr>
                <w:color w:val="000000"/>
                <w:kern w:val="0"/>
                <w:sz w:val="24"/>
              </w:rPr>
            </w:pPr>
            <w:r>
              <w:rPr>
                <w:b/>
                <w:bCs/>
                <w:color w:val="000000"/>
                <w:kern w:val="0"/>
                <w:sz w:val="24"/>
              </w:rPr>
              <w:t>代表性论文专著目录</w:t>
            </w:r>
          </w:p>
        </w:tc>
        <w:tc>
          <w:tcPr>
            <w:tcW w:w="7190" w:type="dxa"/>
            <w:gridSpan w:val="3"/>
            <w:vAlign w:val="center"/>
          </w:tcPr>
          <w:p>
            <w:pPr>
              <w:rPr>
                <w:sz w:val="24"/>
              </w:rPr>
            </w:pPr>
            <w:r>
              <w:rPr>
                <w:rFonts w:hint="eastAsia"/>
                <w:sz w:val="24"/>
              </w:rPr>
              <w:t>1.Analysis of low-resistivity oil pay and fluid typing method of Chang 8</w:t>
            </w:r>
            <w:r>
              <w:rPr>
                <w:rFonts w:hint="eastAsia"/>
                <w:sz w:val="24"/>
                <w:vertAlign w:val="subscript"/>
              </w:rPr>
              <w:t>1</w:t>
            </w:r>
            <w:r>
              <w:rPr>
                <w:rFonts w:hint="eastAsia"/>
                <w:sz w:val="24"/>
              </w:rPr>
              <w:t xml:space="preserve"> Member, Yanchang Formation in Huanxian area, Ordos Basin, China，Journal of Petroleum Science and Engineering，2019（175）：1099-1111；</w:t>
            </w:r>
          </w:p>
          <w:p>
            <w:pPr>
              <w:rPr>
                <w:sz w:val="24"/>
              </w:rPr>
            </w:pPr>
            <w:r>
              <w:rPr>
                <w:rFonts w:hint="eastAsia"/>
                <w:sz w:val="24"/>
              </w:rPr>
              <w:t>2.Influential factors analysis and porosity correction method of nuclear magnetic resonance measurement in igneous rocks，Journal of Applied Geophysics，2019（161）：153-166。</w:t>
            </w:r>
          </w:p>
        </w:tc>
      </w:tr>
    </w:tbl>
    <w:p>
      <w:pPr>
        <w:spacing w:line="20" w:lineRule="exact"/>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jUxMDM2MDE0NWExZjBmMjdlN2M4N2Q0YzQ4NTcifQ=="/>
  </w:docVars>
  <w:rsids>
    <w:rsidRoot w:val="00F21222"/>
    <w:rsid w:val="000A38E3"/>
    <w:rsid w:val="000D4193"/>
    <w:rsid w:val="000E3D16"/>
    <w:rsid w:val="00111D8F"/>
    <w:rsid w:val="001305FC"/>
    <w:rsid w:val="001A18E6"/>
    <w:rsid w:val="00246B1D"/>
    <w:rsid w:val="00254722"/>
    <w:rsid w:val="00333523"/>
    <w:rsid w:val="00472A94"/>
    <w:rsid w:val="00476F3F"/>
    <w:rsid w:val="005973C3"/>
    <w:rsid w:val="005A28DD"/>
    <w:rsid w:val="005A5451"/>
    <w:rsid w:val="00695A9C"/>
    <w:rsid w:val="006A2CDA"/>
    <w:rsid w:val="006B46D9"/>
    <w:rsid w:val="00713779"/>
    <w:rsid w:val="0079765C"/>
    <w:rsid w:val="007B7147"/>
    <w:rsid w:val="00871FAA"/>
    <w:rsid w:val="008D596F"/>
    <w:rsid w:val="008E091B"/>
    <w:rsid w:val="00982F8F"/>
    <w:rsid w:val="00A912F1"/>
    <w:rsid w:val="00AA73BB"/>
    <w:rsid w:val="00AF5D88"/>
    <w:rsid w:val="00B25A04"/>
    <w:rsid w:val="00B31F39"/>
    <w:rsid w:val="00B87E75"/>
    <w:rsid w:val="00B91449"/>
    <w:rsid w:val="00C208F4"/>
    <w:rsid w:val="00C429AE"/>
    <w:rsid w:val="00CA6E67"/>
    <w:rsid w:val="00CB5206"/>
    <w:rsid w:val="00CC7C8C"/>
    <w:rsid w:val="00CE4411"/>
    <w:rsid w:val="00CF7AD0"/>
    <w:rsid w:val="00D9429C"/>
    <w:rsid w:val="00E000E1"/>
    <w:rsid w:val="00E339A2"/>
    <w:rsid w:val="00E62405"/>
    <w:rsid w:val="00E83A27"/>
    <w:rsid w:val="00E872D9"/>
    <w:rsid w:val="00EB530B"/>
    <w:rsid w:val="00EE7FD3"/>
    <w:rsid w:val="00F011AF"/>
    <w:rsid w:val="00F21222"/>
    <w:rsid w:val="00F35703"/>
    <w:rsid w:val="00F47369"/>
    <w:rsid w:val="00FA678D"/>
    <w:rsid w:val="00FE1853"/>
    <w:rsid w:val="00FF57D9"/>
    <w:rsid w:val="01304A6D"/>
    <w:rsid w:val="03A82039"/>
    <w:rsid w:val="03FA6D38"/>
    <w:rsid w:val="045B5E65"/>
    <w:rsid w:val="04A3117E"/>
    <w:rsid w:val="052B4CCF"/>
    <w:rsid w:val="05746676"/>
    <w:rsid w:val="064C75F3"/>
    <w:rsid w:val="06746C09"/>
    <w:rsid w:val="0779297D"/>
    <w:rsid w:val="07B41227"/>
    <w:rsid w:val="09D749C6"/>
    <w:rsid w:val="09DB4F16"/>
    <w:rsid w:val="0B9D61FB"/>
    <w:rsid w:val="0E0F33E0"/>
    <w:rsid w:val="0F12144F"/>
    <w:rsid w:val="0F543075"/>
    <w:rsid w:val="108D2A4C"/>
    <w:rsid w:val="118D341C"/>
    <w:rsid w:val="138C77CA"/>
    <w:rsid w:val="138E1CF5"/>
    <w:rsid w:val="144B3AE7"/>
    <w:rsid w:val="15B66837"/>
    <w:rsid w:val="161F262E"/>
    <w:rsid w:val="167C4BEF"/>
    <w:rsid w:val="16D2125F"/>
    <w:rsid w:val="19910437"/>
    <w:rsid w:val="1ABF727F"/>
    <w:rsid w:val="1ACD254F"/>
    <w:rsid w:val="1ADC1514"/>
    <w:rsid w:val="1C3D736A"/>
    <w:rsid w:val="1C59115B"/>
    <w:rsid w:val="1CF864FE"/>
    <w:rsid w:val="1D1C78C7"/>
    <w:rsid w:val="1EE1004B"/>
    <w:rsid w:val="1F1D7927"/>
    <w:rsid w:val="1F3802BD"/>
    <w:rsid w:val="200B777F"/>
    <w:rsid w:val="203E1903"/>
    <w:rsid w:val="21C267AA"/>
    <w:rsid w:val="234E4979"/>
    <w:rsid w:val="256C0CC0"/>
    <w:rsid w:val="25A97CAE"/>
    <w:rsid w:val="26322018"/>
    <w:rsid w:val="27CA298E"/>
    <w:rsid w:val="28817ECB"/>
    <w:rsid w:val="29437F4F"/>
    <w:rsid w:val="297872F4"/>
    <w:rsid w:val="29E277A3"/>
    <w:rsid w:val="29F21863"/>
    <w:rsid w:val="2A4B359A"/>
    <w:rsid w:val="2A7F6F09"/>
    <w:rsid w:val="2B71245C"/>
    <w:rsid w:val="2C793E90"/>
    <w:rsid w:val="2E711609"/>
    <w:rsid w:val="2F5B427F"/>
    <w:rsid w:val="2F686C4D"/>
    <w:rsid w:val="301B1E7D"/>
    <w:rsid w:val="32A0644D"/>
    <w:rsid w:val="344D7F0F"/>
    <w:rsid w:val="360D204B"/>
    <w:rsid w:val="36BB3856"/>
    <w:rsid w:val="373C2130"/>
    <w:rsid w:val="38117DB1"/>
    <w:rsid w:val="38262F51"/>
    <w:rsid w:val="387E6AA8"/>
    <w:rsid w:val="38B065B6"/>
    <w:rsid w:val="393F251C"/>
    <w:rsid w:val="3B2133AD"/>
    <w:rsid w:val="3C5526BB"/>
    <w:rsid w:val="3CD951D6"/>
    <w:rsid w:val="3ECB2497"/>
    <w:rsid w:val="41AF045B"/>
    <w:rsid w:val="427D1648"/>
    <w:rsid w:val="428B67D2"/>
    <w:rsid w:val="44BD5813"/>
    <w:rsid w:val="44EC64D3"/>
    <w:rsid w:val="45301E0D"/>
    <w:rsid w:val="4614716F"/>
    <w:rsid w:val="46F04E55"/>
    <w:rsid w:val="474358CD"/>
    <w:rsid w:val="4B234E00"/>
    <w:rsid w:val="4B8D1D61"/>
    <w:rsid w:val="4DED405F"/>
    <w:rsid w:val="4EB470B0"/>
    <w:rsid w:val="4F97342E"/>
    <w:rsid w:val="50A70C7B"/>
    <w:rsid w:val="511E659C"/>
    <w:rsid w:val="51C825BF"/>
    <w:rsid w:val="5380624C"/>
    <w:rsid w:val="53A476F3"/>
    <w:rsid w:val="542F70DE"/>
    <w:rsid w:val="572724E4"/>
    <w:rsid w:val="57F131B7"/>
    <w:rsid w:val="58D11BF8"/>
    <w:rsid w:val="5ADF11A3"/>
    <w:rsid w:val="5B0867BA"/>
    <w:rsid w:val="5BD41C56"/>
    <w:rsid w:val="5BE865EB"/>
    <w:rsid w:val="5CA029F3"/>
    <w:rsid w:val="5FF05A6E"/>
    <w:rsid w:val="61882403"/>
    <w:rsid w:val="62562501"/>
    <w:rsid w:val="626562A0"/>
    <w:rsid w:val="63DC558A"/>
    <w:rsid w:val="641A55BD"/>
    <w:rsid w:val="64CF2382"/>
    <w:rsid w:val="6B0A6CA4"/>
    <w:rsid w:val="6B2C2704"/>
    <w:rsid w:val="6B8E2D0B"/>
    <w:rsid w:val="6D212753"/>
    <w:rsid w:val="6D752265"/>
    <w:rsid w:val="6E66587A"/>
    <w:rsid w:val="6ECD1366"/>
    <w:rsid w:val="6F07576D"/>
    <w:rsid w:val="706A31E5"/>
    <w:rsid w:val="714F4CEB"/>
    <w:rsid w:val="717174DB"/>
    <w:rsid w:val="731F6968"/>
    <w:rsid w:val="73FE54E4"/>
    <w:rsid w:val="74A52E74"/>
    <w:rsid w:val="794F33AE"/>
    <w:rsid w:val="7BA24D0B"/>
    <w:rsid w:val="7C72188D"/>
    <w:rsid w:val="7D3B6927"/>
    <w:rsid w:val="7DFD162B"/>
    <w:rsid w:val="7FED7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style01"/>
    <w:basedOn w:val="6"/>
    <w:qFormat/>
    <w:uiPriority w:val="0"/>
    <w:rPr>
      <w:rFonts w:ascii="黑体" w:hAnsi="宋体" w:eastAsia="黑体" w:cs="黑体"/>
      <w:color w:val="000000"/>
      <w:sz w:val="40"/>
      <w:szCs w:val="40"/>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中国石化石油工程技术研究院</Company>
  <Pages>3</Pages>
  <Words>1689</Words>
  <Characters>2106</Characters>
  <Lines>16</Lines>
  <Paragraphs>4</Paragraphs>
  <TotalTime>20</TotalTime>
  <ScaleCrop>false</ScaleCrop>
  <LinksUpToDate>false</LinksUpToDate>
  <CharactersWithSpaces>2151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2022-02-21T00:28:00Z</dcterms:created>
  <dc:creator>Administrator</dc:creator>
  <cp:lastModifiedBy>糖糖</cp:lastModifiedBy>
  <dcterms:modified xsi:type="dcterms:W3CDTF">2023-02-24T09:40:04Z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0EFA87B0652D4E169844E99BB43C528C</vt:lpwstr>
  </property>
</Properties>
</file>