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1D308">
      <w:pPr>
        <w:pStyle w:val="2"/>
        <w:spacing w:before="0" w:after="120" w:line="240" w:lineRule="auto"/>
        <w:rPr>
          <w:rFonts w:ascii="微软雅黑" w:hAnsi="微软雅黑" w:eastAsia="微软雅黑"/>
          <w:sz w:val="30"/>
          <w:szCs w:val="30"/>
        </w:rPr>
      </w:pPr>
      <w:bookmarkStart w:id="0" w:name="_Hlk144907949"/>
      <w:r>
        <w:rPr>
          <w:rFonts w:hint="eastAsia" w:ascii="微软雅黑" w:hAnsi="微软雅黑" w:eastAsia="微软雅黑"/>
          <w:sz w:val="30"/>
          <w:szCs w:val="30"/>
        </w:rPr>
        <w:t>附件</w:t>
      </w:r>
      <w:r>
        <w:rPr>
          <w:rFonts w:ascii="微软雅黑" w:hAnsi="微软雅黑" w:eastAsia="微软雅黑"/>
          <w:sz w:val="30"/>
          <w:szCs w:val="30"/>
        </w:rPr>
        <w:t>5</w:t>
      </w:r>
    </w:p>
    <w:p w14:paraId="48C4BA42">
      <w:pPr>
        <w:widowControl/>
        <w:ind w:left="440" w:hanging="300" w:hangingChars="100"/>
        <w:jc w:val="center"/>
        <w:rPr>
          <w:rFonts w:hint="eastAsia" w:ascii="微软雅黑" w:hAnsi="微软雅黑" w:eastAsia="微软雅黑" w:cs="仿宋_GB2312"/>
          <w:b/>
          <w:kern w:val="0"/>
          <w:sz w:val="44"/>
          <w:szCs w:val="44"/>
        </w:rPr>
      </w:pPr>
      <w:r>
        <w:rPr>
          <w:rFonts w:hint="eastAsia" w:ascii="微软雅黑" w:hAnsi="微软雅黑" w:eastAsia="微软雅黑" w:cs="仿宋_GB2312"/>
          <w:b/>
          <w:kern w:val="0"/>
          <w:sz w:val="30"/>
          <w:szCs w:val="30"/>
          <w:lang w:val="en-US" w:eastAsia="zh-CN"/>
        </w:rPr>
        <w:t>第二届</w:t>
      </w:r>
      <w:r>
        <w:rPr>
          <w:rFonts w:hint="eastAsia" w:ascii="微软雅黑" w:hAnsi="微软雅黑" w:eastAsia="微软雅黑" w:cs="仿宋_GB2312"/>
          <w:b/>
          <w:kern w:val="0"/>
          <w:sz w:val="30"/>
          <w:szCs w:val="30"/>
        </w:rPr>
        <w:t>中国石油教育学会教师教学创新</w:t>
      </w:r>
      <w:r>
        <w:rPr>
          <w:rFonts w:hint="eastAsia" w:ascii="微软雅黑" w:hAnsi="微软雅黑" w:eastAsia="微软雅黑" w:cs="仿宋_GB2312"/>
          <w:b/>
          <w:kern w:val="0"/>
          <w:sz w:val="30"/>
          <w:szCs w:val="30"/>
          <w:lang w:val="en-US" w:eastAsia="zh-CN"/>
        </w:rPr>
        <w:t>大</w:t>
      </w:r>
      <w:r>
        <w:rPr>
          <w:rFonts w:hint="eastAsia" w:ascii="微软雅黑" w:hAnsi="微软雅黑" w:eastAsia="微软雅黑" w:cs="仿宋_GB2312"/>
          <w:b/>
          <w:kern w:val="0"/>
          <w:sz w:val="30"/>
          <w:szCs w:val="30"/>
        </w:rPr>
        <w:t>赛评分标准</w:t>
      </w:r>
    </w:p>
    <w:bookmarkEnd w:id="0"/>
    <w:p w14:paraId="345C8613">
      <w:pPr>
        <w:spacing w:before="143" w:line="254" w:lineRule="auto"/>
        <w:ind w:left="3536" w:leftChars="507" w:right="156" w:hanging="2471" w:hangingChars="727"/>
        <w:rPr>
          <w:rFonts w:ascii="宋体" w:hAnsi="宋体" w:eastAsia="宋体" w:cs="宋体"/>
          <w:spacing w:val="10"/>
          <w:kern w:val="0"/>
          <w:sz w:val="32"/>
          <w:szCs w:val="32"/>
          <w:lang w:val="en-US" w:eastAsia="zh-CN" w:bidi="ar-SA"/>
        </w:rPr>
      </w:pPr>
      <w:r>
        <w:rPr>
          <w:rFonts w:ascii="宋体" w:hAnsi="宋体" w:eastAsia="宋体" w:cs="宋体"/>
          <w:spacing w:val="10"/>
          <w:kern w:val="0"/>
          <w:sz w:val="32"/>
          <w:szCs w:val="32"/>
          <w:lang w:val="en-US" w:eastAsia="zh-CN" w:bidi="ar-SA"/>
        </w:rPr>
        <w:t>新工科、新文科、基础课程 赛道实施方案</w:t>
      </w:r>
    </w:p>
    <w:p w14:paraId="041A8124">
      <w:pPr>
        <w:spacing w:line="355" w:lineRule="auto"/>
        <w:rPr>
          <w:rFonts w:ascii="Arial"/>
          <w:sz w:val="21"/>
        </w:rPr>
      </w:pPr>
    </w:p>
    <w:p w14:paraId="3CBF1107">
      <w:pPr>
        <w:spacing w:line="355" w:lineRule="auto"/>
        <w:rPr>
          <w:rFonts w:ascii="Arial"/>
          <w:sz w:val="21"/>
        </w:rPr>
      </w:pPr>
    </w:p>
    <w:p w14:paraId="5B6D8DED">
      <w:pPr>
        <w:spacing w:before="95"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29"/>
          <w:sz w:val="29"/>
          <w:szCs w:val="29"/>
        </w:rPr>
        <w:t>一、参赛要求</w:t>
      </w:r>
    </w:p>
    <w:p w14:paraId="2F2C2A9C">
      <w:pPr>
        <w:pStyle w:val="5"/>
        <w:spacing w:before="240" w:line="361" w:lineRule="auto"/>
        <w:ind w:left="4" w:right="123" w:firstLine="609"/>
        <w:rPr>
          <w:sz w:val="32"/>
          <w:szCs w:val="32"/>
        </w:rPr>
      </w:pPr>
      <w:r>
        <w:rPr>
          <w:spacing w:val="-4"/>
          <w:sz w:val="32"/>
          <w:szCs w:val="32"/>
        </w:rPr>
        <w:t>本赛道可以个人或团队形式参赛，若以团队形式参赛，</w:t>
      </w:r>
      <w:r>
        <w:rPr>
          <w:spacing w:val="6"/>
          <w:sz w:val="32"/>
          <w:szCs w:val="32"/>
        </w:rPr>
        <w:t xml:space="preserve"> </w:t>
      </w:r>
      <w:r>
        <w:rPr>
          <w:spacing w:val="10"/>
          <w:sz w:val="32"/>
          <w:szCs w:val="32"/>
        </w:rPr>
        <w:t>团队成员包括1名主讲教师和不超过3名团队教师。</w:t>
      </w:r>
    </w:p>
    <w:p w14:paraId="40A9189B">
      <w:pPr>
        <w:spacing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二、材料要求</w:t>
      </w:r>
    </w:p>
    <w:p w14:paraId="206EB203">
      <w:pPr>
        <w:spacing w:before="203" w:line="227" w:lineRule="auto"/>
        <w:ind w:left="769"/>
        <w:outlineLvl w:val="1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b/>
          <w:bCs/>
          <w:spacing w:val="11"/>
          <w:sz w:val="34"/>
          <w:szCs w:val="34"/>
        </w:rPr>
        <w:t>(一)申报书</w:t>
      </w:r>
    </w:p>
    <w:p w14:paraId="50528921">
      <w:pPr>
        <w:pStyle w:val="5"/>
        <w:spacing w:before="251" w:line="349" w:lineRule="auto"/>
        <w:ind w:left="4" w:right="104" w:firstLine="609"/>
        <w:rPr>
          <w:sz w:val="32"/>
          <w:szCs w:val="32"/>
        </w:rPr>
      </w:pPr>
      <w:r>
        <w:rPr>
          <w:spacing w:val="-3"/>
          <w:sz w:val="32"/>
          <w:szCs w:val="32"/>
        </w:rPr>
        <w:t>参赛教师通过大赛</w:t>
      </w:r>
      <w:r>
        <w:rPr>
          <w:rFonts w:hint="eastAsia"/>
          <w:spacing w:val="-3"/>
          <w:sz w:val="32"/>
          <w:szCs w:val="32"/>
          <w:lang w:val="en-US" w:eastAsia="zh-CN"/>
        </w:rPr>
        <w:t>平台</w:t>
      </w:r>
      <w:r>
        <w:rPr>
          <w:spacing w:val="-3"/>
          <w:sz w:val="32"/>
          <w:szCs w:val="32"/>
        </w:rPr>
        <w:t>填写后导出，加盖公章并提交，</w:t>
      </w:r>
      <w:r>
        <w:rPr>
          <w:spacing w:val="1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提交后原则上不得修改。</w:t>
      </w:r>
    </w:p>
    <w:p w14:paraId="3A3C11F5">
      <w:pPr>
        <w:spacing w:before="16" w:line="224" w:lineRule="auto"/>
        <w:ind w:left="769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2"/>
          <w:sz w:val="31"/>
          <w:szCs w:val="31"/>
        </w:rPr>
        <w:t>(二)教学创新成果报告</w:t>
      </w:r>
    </w:p>
    <w:p w14:paraId="4B6F2C39">
      <w:pPr>
        <w:pStyle w:val="5"/>
        <w:spacing w:before="248" w:line="354" w:lineRule="auto"/>
        <w:ind w:left="4" w:right="25" w:firstLine="609"/>
        <w:jc w:val="both"/>
        <w:rPr>
          <w:sz w:val="32"/>
          <w:szCs w:val="32"/>
        </w:rPr>
      </w:pPr>
      <w:r>
        <w:rPr>
          <w:spacing w:val="12"/>
          <w:sz w:val="32"/>
          <w:szCs w:val="32"/>
        </w:rPr>
        <w:t>教学创新成果报告应基于参赛课程的教学实践经验与</w:t>
      </w:r>
      <w:r>
        <w:rPr>
          <w:spacing w:val="11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反思，体现课程教学的创新举措、过程与成效。聚焦教学实践的真实问题，通过课程内容的重构、教学方法的创新、教</w:t>
      </w:r>
      <w:r>
        <w:rPr>
          <w:spacing w:val="-2"/>
          <w:sz w:val="32"/>
          <w:szCs w:val="32"/>
        </w:rPr>
        <w:t>学环境的创设、教学评价的改革等，采用教学实验研究的范</w:t>
      </w:r>
      <w:bookmarkStart w:id="1" w:name="_GoBack"/>
      <w:bookmarkEnd w:id="1"/>
      <w:r>
        <w:rPr>
          <w:spacing w:val="-4"/>
          <w:sz w:val="32"/>
          <w:szCs w:val="32"/>
        </w:rPr>
        <w:t>式解决教学问题，明确教学成效及其推广价值。</w:t>
      </w:r>
    </w:p>
    <w:p w14:paraId="3598874B">
      <w:pPr>
        <w:spacing w:before="32" w:line="224" w:lineRule="auto"/>
        <w:ind w:left="76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2"/>
          <w:sz w:val="31"/>
          <w:szCs w:val="31"/>
        </w:rPr>
        <w:t>(三)课堂教学实录视频及相关材料</w:t>
      </w:r>
    </w:p>
    <w:p w14:paraId="262269EF">
      <w:pPr>
        <w:pStyle w:val="5"/>
        <w:spacing w:before="236" w:line="358" w:lineRule="auto"/>
        <w:ind w:left="4" w:right="55" w:firstLine="609"/>
        <w:rPr>
          <w:sz w:val="32"/>
          <w:szCs w:val="32"/>
        </w:rPr>
      </w:pPr>
      <w:r>
        <w:rPr>
          <w:spacing w:val="5"/>
          <w:sz w:val="32"/>
          <w:szCs w:val="32"/>
        </w:rPr>
        <w:t>课堂教学实录视频为参赛课程中两个1学时的完整教学</w:t>
      </w:r>
      <w:r>
        <w:rPr>
          <w:spacing w:val="18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实录，每个视频时长为40-50分钟。视频需全程连续录制。</w:t>
      </w:r>
    </w:p>
    <w:p w14:paraId="3F23AE49">
      <w:pPr>
        <w:spacing w:line="358" w:lineRule="auto"/>
        <w:rPr>
          <w:sz w:val="32"/>
          <w:szCs w:val="32"/>
        </w:rPr>
        <w:sectPr>
          <w:footerReference r:id="rId3" w:type="default"/>
          <w:pgSz w:w="11900" w:h="16830"/>
          <w:pgMar w:top="1430" w:right="1785" w:bottom="879" w:left="1785" w:header="0" w:footer="735" w:gutter="0"/>
          <w:cols w:space="720" w:num="1"/>
        </w:sectPr>
      </w:pPr>
    </w:p>
    <w:p w14:paraId="7CF28BE3">
      <w:pPr>
        <w:spacing w:before="270" w:line="222" w:lineRule="auto"/>
        <w:ind w:left="82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三</w:t>
      </w:r>
      <w:r>
        <w:rPr>
          <w:rFonts w:ascii="黑体" w:hAnsi="黑体" w:eastAsia="黑体" w:cs="黑体"/>
          <w:spacing w:val="-7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、评分标准</w:t>
      </w:r>
    </w:p>
    <w:p w14:paraId="22421FFB">
      <w:pPr>
        <w:spacing w:before="220" w:line="221" w:lineRule="auto"/>
        <w:ind w:left="989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4"/>
          <w:sz w:val="31"/>
          <w:szCs w:val="31"/>
        </w:rPr>
        <w:t>(</w:t>
      </w:r>
      <w:r>
        <w:rPr>
          <w:rFonts w:ascii="楷体" w:hAnsi="楷体" w:eastAsia="楷体" w:cs="楷体"/>
          <w:spacing w:val="-78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34"/>
          <w:sz w:val="31"/>
          <w:szCs w:val="31"/>
        </w:rPr>
        <w:t>一)课堂教学实录视频(40分)</w:t>
      </w:r>
    </w:p>
    <w:tbl>
      <w:tblPr>
        <w:tblStyle w:val="15"/>
        <w:tblW w:w="8712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3"/>
        <w:gridCol w:w="7269"/>
      </w:tblGrid>
      <w:tr w14:paraId="3D539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443" w:type="dxa"/>
            <w:vAlign w:val="top"/>
          </w:tcPr>
          <w:p w14:paraId="64EB5AF4">
            <w:pPr>
              <w:pStyle w:val="23"/>
              <w:spacing w:before="178" w:line="218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7269" w:type="dxa"/>
            <w:vAlign w:val="top"/>
          </w:tcPr>
          <w:p w14:paraId="32DA5A56">
            <w:pPr>
              <w:pStyle w:val="23"/>
              <w:spacing w:before="178" w:line="218" w:lineRule="auto"/>
              <w:ind w:left="316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03355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443" w:type="dxa"/>
            <w:vAlign w:val="top"/>
          </w:tcPr>
          <w:p w14:paraId="00D050E1">
            <w:pPr>
              <w:spacing w:line="412" w:lineRule="auto"/>
              <w:rPr>
                <w:rFonts w:ascii="Arial"/>
                <w:sz w:val="21"/>
              </w:rPr>
            </w:pPr>
          </w:p>
          <w:p w14:paraId="4B9EC6DE">
            <w:pPr>
              <w:pStyle w:val="23"/>
              <w:spacing w:before="72" w:line="219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教学理念</w:t>
            </w:r>
          </w:p>
        </w:tc>
        <w:tc>
          <w:tcPr>
            <w:tcW w:w="7269" w:type="dxa"/>
            <w:vAlign w:val="top"/>
          </w:tcPr>
          <w:p w14:paraId="3185D8A8">
            <w:pPr>
              <w:pStyle w:val="23"/>
              <w:spacing w:before="110" w:line="299" w:lineRule="auto"/>
              <w:ind w:left="111" w:hanging="9"/>
              <w:jc w:val="both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教学理念体现“以学生为中心”教育理念，体现立德树人</w:t>
            </w:r>
            <w:r>
              <w:rPr>
                <w:spacing w:val="-4"/>
                <w:sz w:val="22"/>
                <w:szCs w:val="22"/>
              </w:rPr>
              <w:t>思想，符合学科特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色与课程要求；以“四新”建设为引领，推动教育教学改革、提高人才培养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能</w:t>
            </w:r>
            <w:r>
              <w:rPr>
                <w:color w:val="102030"/>
                <w:spacing w:val="-18"/>
                <w:sz w:val="22"/>
                <w:szCs w:val="22"/>
              </w:rPr>
              <w:t>力</w:t>
            </w:r>
            <w:r>
              <w:rPr>
                <w:color w:val="102030"/>
                <w:spacing w:val="-26"/>
                <w:sz w:val="22"/>
                <w:szCs w:val="22"/>
              </w:rPr>
              <w:t xml:space="preserve"> </w:t>
            </w:r>
            <w:r>
              <w:rPr>
                <w:color w:val="102030"/>
                <w:spacing w:val="-18"/>
                <w:sz w:val="22"/>
                <w:szCs w:val="22"/>
              </w:rPr>
              <w:t>。</w:t>
            </w:r>
          </w:p>
        </w:tc>
      </w:tr>
      <w:tr w14:paraId="3E00C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43" w:type="dxa"/>
            <w:vMerge w:val="restart"/>
            <w:tcBorders>
              <w:bottom w:val="nil"/>
            </w:tcBorders>
            <w:vAlign w:val="top"/>
          </w:tcPr>
          <w:p w14:paraId="786707B6">
            <w:pPr>
              <w:spacing w:line="311" w:lineRule="auto"/>
              <w:rPr>
                <w:rFonts w:ascii="Arial"/>
                <w:sz w:val="21"/>
              </w:rPr>
            </w:pPr>
          </w:p>
          <w:p w14:paraId="78A9030A">
            <w:pPr>
              <w:spacing w:line="311" w:lineRule="auto"/>
              <w:rPr>
                <w:rFonts w:ascii="Arial"/>
                <w:sz w:val="21"/>
              </w:rPr>
            </w:pPr>
          </w:p>
          <w:p w14:paraId="6800F528">
            <w:pPr>
              <w:pStyle w:val="23"/>
              <w:spacing w:before="72" w:line="219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教学内容</w:t>
            </w:r>
          </w:p>
        </w:tc>
        <w:tc>
          <w:tcPr>
            <w:tcW w:w="7269" w:type="dxa"/>
            <w:vAlign w:val="top"/>
          </w:tcPr>
          <w:p w14:paraId="015B66A9">
            <w:pPr>
              <w:pStyle w:val="23"/>
              <w:spacing w:before="119" w:line="281" w:lineRule="auto"/>
              <w:ind w:left="102" w:firstLine="9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教学内容有深度、广度，体现高阶性、创新性与挑战度；反映学科前沿，渗</w:t>
            </w:r>
            <w:r>
              <w:rPr>
                <w:spacing w:val="8"/>
                <w:sz w:val="22"/>
                <w:szCs w:val="22"/>
              </w:rPr>
              <w:t xml:space="preserve">  </w:t>
            </w:r>
            <w:r>
              <w:rPr>
                <w:spacing w:val="-10"/>
                <w:sz w:val="22"/>
                <w:szCs w:val="22"/>
              </w:rPr>
              <w:t>透专业思想，使用质量高的教学资源；充分体现“四新”建设的理念和成果。</w:t>
            </w:r>
          </w:p>
        </w:tc>
      </w:tr>
      <w:tr w14:paraId="06637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443" w:type="dxa"/>
            <w:vMerge w:val="continue"/>
            <w:tcBorders>
              <w:top w:val="nil"/>
            </w:tcBorders>
            <w:vAlign w:val="top"/>
          </w:tcPr>
          <w:p w14:paraId="6F281634">
            <w:pPr>
              <w:rPr>
                <w:rFonts w:ascii="Arial"/>
                <w:sz w:val="21"/>
              </w:rPr>
            </w:pPr>
          </w:p>
        </w:tc>
        <w:tc>
          <w:tcPr>
            <w:tcW w:w="7269" w:type="dxa"/>
            <w:vAlign w:val="top"/>
          </w:tcPr>
          <w:p w14:paraId="67E04AFA">
            <w:pPr>
              <w:pStyle w:val="23"/>
              <w:spacing w:before="122" w:line="284" w:lineRule="auto"/>
              <w:ind w:left="11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教学内容满足行业与社会需求，教学重点、难点处理恰当，关注学生已有知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识和经验，教学内容具有科学性。</w:t>
            </w:r>
          </w:p>
        </w:tc>
      </w:tr>
      <w:tr w14:paraId="54828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443" w:type="dxa"/>
            <w:vMerge w:val="restart"/>
            <w:tcBorders>
              <w:bottom w:val="nil"/>
            </w:tcBorders>
            <w:vAlign w:val="top"/>
          </w:tcPr>
          <w:p w14:paraId="44FD2E24">
            <w:pPr>
              <w:spacing w:line="307" w:lineRule="auto"/>
              <w:rPr>
                <w:rFonts w:ascii="Arial"/>
                <w:sz w:val="21"/>
              </w:rPr>
            </w:pPr>
          </w:p>
          <w:p w14:paraId="0E1390E3">
            <w:pPr>
              <w:spacing w:line="308" w:lineRule="auto"/>
              <w:rPr>
                <w:rFonts w:ascii="Arial"/>
                <w:sz w:val="21"/>
              </w:rPr>
            </w:pPr>
          </w:p>
          <w:p w14:paraId="2E1A7B3D">
            <w:pPr>
              <w:pStyle w:val="23"/>
              <w:spacing w:before="71" w:line="220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课程思政</w:t>
            </w:r>
          </w:p>
        </w:tc>
        <w:tc>
          <w:tcPr>
            <w:tcW w:w="7269" w:type="dxa"/>
            <w:vAlign w:val="top"/>
          </w:tcPr>
          <w:p w14:paraId="5AE9E490">
            <w:pPr>
              <w:pStyle w:val="23"/>
              <w:spacing w:before="111" w:line="280" w:lineRule="auto"/>
              <w:ind w:left="11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落实立德树人根本任务，将价值塑造、知识传授和能力培养融为一体，显性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教育与隐性教育相统一，实现“三全育人”。</w:t>
            </w:r>
          </w:p>
        </w:tc>
      </w:tr>
      <w:tr w14:paraId="4D9C4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43" w:type="dxa"/>
            <w:vMerge w:val="continue"/>
            <w:tcBorders>
              <w:top w:val="nil"/>
            </w:tcBorders>
            <w:vAlign w:val="top"/>
          </w:tcPr>
          <w:p w14:paraId="741612B7">
            <w:pPr>
              <w:rPr>
                <w:rFonts w:ascii="Arial"/>
                <w:sz w:val="21"/>
              </w:rPr>
            </w:pPr>
          </w:p>
        </w:tc>
        <w:tc>
          <w:tcPr>
            <w:tcW w:w="7269" w:type="dxa"/>
            <w:vAlign w:val="top"/>
          </w:tcPr>
          <w:p w14:paraId="31AD9B93">
            <w:pPr>
              <w:pStyle w:val="23"/>
              <w:spacing w:before="131" w:line="276" w:lineRule="auto"/>
              <w:ind w:left="11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结合所授课程特点、思维方法和价值理念，深挖课程思政元素，有机融入课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程教学。</w:t>
            </w:r>
          </w:p>
        </w:tc>
      </w:tr>
      <w:tr w14:paraId="28BC4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443" w:type="dxa"/>
            <w:vMerge w:val="restart"/>
            <w:tcBorders>
              <w:bottom w:val="nil"/>
            </w:tcBorders>
            <w:vAlign w:val="top"/>
          </w:tcPr>
          <w:p w14:paraId="475AB929">
            <w:pPr>
              <w:spacing w:line="248" w:lineRule="auto"/>
              <w:rPr>
                <w:rFonts w:ascii="Arial"/>
                <w:sz w:val="21"/>
              </w:rPr>
            </w:pPr>
          </w:p>
          <w:p w14:paraId="2895343E">
            <w:pPr>
              <w:spacing w:line="248" w:lineRule="auto"/>
              <w:rPr>
                <w:rFonts w:ascii="Arial"/>
                <w:sz w:val="21"/>
              </w:rPr>
            </w:pPr>
          </w:p>
          <w:p w14:paraId="50D209AB">
            <w:pPr>
              <w:spacing w:line="248" w:lineRule="auto"/>
              <w:rPr>
                <w:rFonts w:ascii="Arial"/>
                <w:sz w:val="21"/>
              </w:rPr>
            </w:pPr>
          </w:p>
          <w:p w14:paraId="15D092ED">
            <w:pPr>
              <w:spacing w:line="249" w:lineRule="auto"/>
              <w:rPr>
                <w:rFonts w:ascii="Arial"/>
                <w:sz w:val="21"/>
              </w:rPr>
            </w:pPr>
          </w:p>
          <w:p w14:paraId="5DDF586C">
            <w:pPr>
              <w:spacing w:line="249" w:lineRule="auto"/>
              <w:rPr>
                <w:rFonts w:ascii="Arial"/>
                <w:sz w:val="21"/>
              </w:rPr>
            </w:pPr>
          </w:p>
          <w:p w14:paraId="16712852">
            <w:pPr>
              <w:spacing w:line="249" w:lineRule="auto"/>
              <w:rPr>
                <w:rFonts w:ascii="Arial"/>
                <w:sz w:val="21"/>
              </w:rPr>
            </w:pPr>
          </w:p>
          <w:p w14:paraId="6B966043">
            <w:pPr>
              <w:pStyle w:val="23"/>
              <w:spacing w:before="71" w:line="219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教学过程</w:t>
            </w:r>
          </w:p>
        </w:tc>
        <w:tc>
          <w:tcPr>
            <w:tcW w:w="7269" w:type="dxa"/>
            <w:vAlign w:val="top"/>
          </w:tcPr>
          <w:p w14:paraId="14AFA623">
            <w:pPr>
              <w:pStyle w:val="23"/>
              <w:spacing w:before="185" w:line="219" w:lineRule="auto"/>
              <w:ind w:left="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注重“以学生为中心”创新教学，体现教师主导、学生主体。</w:t>
            </w:r>
          </w:p>
        </w:tc>
      </w:tr>
      <w:tr w14:paraId="7F6E5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43" w:type="dxa"/>
            <w:vMerge w:val="continue"/>
            <w:tcBorders>
              <w:top w:val="nil"/>
              <w:bottom w:val="nil"/>
            </w:tcBorders>
            <w:vAlign w:val="top"/>
          </w:tcPr>
          <w:p w14:paraId="5304E064">
            <w:pPr>
              <w:rPr>
                <w:rFonts w:ascii="Arial"/>
                <w:sz w:val="21"/>
              </w:rPr>
            </w:pPr>
          </w:p>
        </w:tc>
        <w:tc>
          <w:tcPr>
            <w:tcW w:w="7269" w:type="dxa"/>
            <w:vAlign w:val="top"/>
          </w:tcPr>
          <w:p w14:paraId="19B5FC43">
            <w:pPr>
              <w:pStyle w:val="23"/>
              <w:spacing w:before="104" w:line="287" w:lineRule="auto"/>
              <w:ind w:left="11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教学目标科学、准确，符合大纲要求、学科特点与学生实际，体现对知识、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能力与思维等方面的要求。</w:t>
            </w:r>
          </w:p>
        </w:tc>
      </w:tr>
      <w:tr w14:paraId="08DE5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443" w:type="dxa"/>
            <w:vMerge w:val="continue"/>
            <w:tcBorders>
              <w:top w:val="nil"/>
              <w:bottom w:val="nil"/>
            </w:tcBorders>
            <w:vAlign w:val="top"/>
          </w:tcPr>
          <w:p w14:paraId="6DE242AB">
            <w:pPr>
              <w:rPr>
                <w:rFonts w:ascii="Arial"/>
                <w:sz w:val="21"/>
              </w:rPr>
            </w:pPr>
          </w:p>
        </w:tc>
        <w:tc>
          <w:tcPr>
            <w:tcW w:w="7269" w:type="dxa"/>
            <w:vAlign w:val="top"/>
          </w:tcPr>
          <w:p w14:paraId="35B10DC2">
            <w:pPr>
              <w:pStyle w:val="23"/>
              <w:spacing w:before="95" w:line="295" w:lineRule="auto"/>
              <w:ind w:left="11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教学组织有序，教学过程安排合理；创新教学方法与策略，注重教学互动，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启发学生思考及问题解决。</w:t>
            </w:r>
          </w:p>
        </w:tc>
      </w:tr>
      <w:tr w14:paraId="70860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43" w:type="dxa"/>
            <w:vMerge w:val="continue"/>
            <w:tcBorders>
              <w:top w:val="nil"/>
              <w:bottom w:val="nil"/>
            </w:tcBorders>
            <w:vAlign w:val="top"/>
          </w:tcPr>
          <w:p w14:paraId="2741797F">
            <w:pPr>
              <w:rPr>
                <w:rFonts w:ascii="Arial"/>
                <w:sz w:val="21"/>
              </w:rPr>
            </w:pPr>
          </w:p>
        </w:tc>
        <w:tc>
          <w:tcPr>
            <w:tcW w:w="7269" w:type="dxa"/>
            <w:vAlign w:val="top"/>
          </w:tcPr>
          <w:p w14:paraId="52E72340">
            <w:pPr>
              <w:pStyle w:val="23"/>
              <w:spacing w:before="178" w:line="219" w:lineRule="auto"/>
              <w:ind w:left="11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以信息技术创设教学环境，支持教学创新。</w:t>
            </w:r>
          </w:p>
        </w:tc>
      </w:tr>
      <w:tr w14:paraId="118E4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43" w:type="dxa"/>
            <w:vMerge w:val="continue"/>
            <w:tcBorders>
              <w:top w:val="nil"/>
            </w:tcBorders>
            <w:vAlign w:val="top"/>
          </w:tcPr>
          <w:p w14:paraId="3FEB9D13">
            <w:pPr>
              <w:rPr>
                <w:rFonts w:ascii="Arial"/>
                <w:sz w:val="21"/>
              </w:rPr>
            </w:pPr>
          </w:p>
        </w:tc>
        <w:tc>
          <w:tcPr>
            <w:tcW w:w="7269" w:type="dxa"/>
            <w:vAlign w:val="top"/>
          </w:tcPr>
          <w:p w14:paraId="2F0AA43B">
            <w:pPr>
              <w:pStyle w:val="23"/>
              <w:spacing w:before="185" w:line="218" w:lineRule="auto"/>
              <w:jc w:val="right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创新考核评价的内容和方式，注重形成性评价与生成性问题的解决和应用。</w:t>
            </w:r>
          </w:p>
        </w:tc>
      </w:tr>
      <w:tr w14:paraId="6122E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43" w:type="dxa"/>
            <w:vMerge w:val="restart"/>
            <w:tcBorders>
              <w:bottom w:val="nil"/>
            </w:tcBorders>
            <w:vAlign w:val="top"/>
          </w:tcPr>
          <w:p w14:paraId="14564FA1">
            <w:pPr>
              <w:spacing w:line="339" w:lineRule="auto"/>
              <w:rPr>
                <w:rFonts w:ascii="Arial"/>
                <w:sz w:val="21"/>
              </w:rPr>
            </w:pPr>
          </w:p>
          <w:p w14:paraId="17E29173">
            <w:pPr>
              <w:spacing w:line="340" w:lineRule="auto"/>
              <w:rPr>
                <w:rFonts w:ascii="Arial"/>
                <w:sz w:val="21"/>
              </w:rPr>
            </w:pPr>
          </w:p>
          <w:p w14:paraId="22E5073B">
            <w:pPr>
              <w:pStyle w:val="23"/>
              <w:spacing w:before="71" w:line="219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教学效果</w:t>
            </w:r>
          </w:p>
        </w:tc>
        <w:tc>
          <w:tcPr>
            <w:tcW w:w="7269" w:type="dxa"/>
            <w:vAlign w:val="top"/>
          </w:tcPr>
          <w:p w14:paraId="3AD53F14">
            <w:pPr>
              <w:pStyle w:val="23"/>
              <w:spacing w:before="188" w:line="219" w:lineRule="auto"/>
              <w:ind w:left="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课堂讲授富有吸引力，课堂气氛融洽，学生思维活跃，深度参与课堂。</w:t>
            </w:r>
          </w:p>
        </w:tc>
      </w:tr>
      <w:tr w14:paraId="75B65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43" w:type="dxa"/>
            <w:vMerge w:val="continue"/>
            <w:tcBorders>
              <w:top w:val="nil"/>
              <w:bottom w:val="nil"/>
            </w:tcBorders>
            <w:vAlign w:val="top"/>
          </w:tcPr>
          <w:p w14:paraId="2931C5F6">
            <w:pPr>
              <w:rPr>
                <w:rFonts w:ascii="Arial"/>
                <w:sz w:val="21"/>
              </w:rPr>
            </w:pPr>
          </w:p>
        </w:tc>
        <w:tc>
          <w:tcPr>
            <w:tcW w:w="7269" w:type="dxa"/>
            <w:vAlign w:val="top"/>
          </w:tcPr>
          <w:p w14:paraId="0ECF3262">
            <w:pPr>
              <w:pStyle w:val="23"/>
              <w:spacing w:before="189" w:line="219" w:lineRule="auto"/>
              <w:ind w:left="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学生知识、能力与思维得到发展，实现教学目标的达</w:t>
            </w:r>
            <w:r>
              <w:rPr>
                <w:spacing w:val="-1"/>
                <w:sz w:val="22"/>
                <w:szCs w:val="22"/>
              </w:rPr>
              <w:t>成。</w:t>
            </w:r>
          </w:p>
        </w:tc>
      </w:tr>
      <w:tr w14:paraId="0FE7F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43" w:type="dxa"/>
            <w:vMerge w:val="continue"/>
            <w:tcBorders>
              <w:top w:val="nil"/>
            </w:tcBorders>
            <w:vAlign w:val="top"/>
          </w:tcPr>
          <w:p w14:paraId="7E326497">
            <w:pPr>
              <w:rPr>
                <w:rFonts w:ascii="Arial"/>
                <w:sz w:val="21"/>
              </w:rPr>
            </w:pPr>
          </w:p>
        </w:tc>
        <w:tc>
          <w:tcPr>
            <w:tcW w:w="7269" w:type="dxa"/>
            <w:vAlign w:val="top"/>
          </w:tcPr>
          <w:p w14:paraId="66BAC776">
            <w:pPr>
              <w:pStyle w:val="23"/>
              <w:spacing w:before="178" w:line="218" w:lineRule="auto"/>
              <w:ind w:left="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形成适合学科特色、学生特点的教学模式，具有较大借鉴和推广价值。</w:t>
            </w:r>
          </w:p>
        </w:tc>
      </w:tr>
      <w:tr w14:paraId="6853F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443" w:type="dxa"/>
            <w:vAlign w:val="top"/>
          </w:tcPr>
          <w:p w14:paraId="124868EE">
            <w:pPr>
              <w:pStyle w:val="23"/>
              <w:spacing w:before="197" w:line="220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视频质量</w:t>
            </w:r>
          </w:p>
        </w:tc>
        <w:tc>
          <w:tcPr>
            <w:tcW w:w="7269" w:type="dxa"/>
            <w:vAlign w:val="top"/>
          </w:tcPr>
          <w:p w14:paraId="6469C5FE">
            <w:pPr>
              <w:pStyle w:val="23"/>
              <w:spacing w:before="200" w:line="219" w:lineRule="auto"/>
              <w:ind w:left="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教学视频清晰、流畅，能客观、真实反映教师和学生的教学过程常态。</w:t>
            </w:r>
          </w:p>
        </w:tc>
      </w:tr>
    </w:tbl>
    <w:p w14:paraId="0F4729CB">
      <w:pPr>
        <w:spacing w:before="209" w:line="214" w:lineRule="auto"/>
        <w:ind w:left="989"/>
        <w:outlineLvl w:val="1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30"/>
          <w:sz w:val="32"/>
          <w:szCs w:val="32"/>
        </w:rPr>
        <w:t>(二)教学创新成果报告(20分)</w:t>
      </w:r>
    </w:p>
    <w:tbl>
      <w:tblPr>
        <w:tblStyle w:val="15"/>
        <w:tblW w:w="87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7277"/>
      </w:tblGrid>
      <w:tr w14:paraId="6C93C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63" w:type="dxa"/>
            <w:vAlign w:val="top"/>
          </w:tcPr>
          <w:p w14:paraId="4B1B8494">
            <w:pPr>
              <w:pStyle w:val="23"/>
              <w:spacing w:before="178" w:line="218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7277" w:type="dxa"/>
            <w:vAlign w:val="top"/>
          </w:tcPr>
          <w:p w14:paraId="3963F88E">
            <w:pPr>
              <w:pStyle w:val="23"/>
              <w:spacing w:before="178" w:line="218" w:lineRule="auto"/>
              <w:ind w:left="319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1AD05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463" w:type="dxa"/>
            <w:vAlign w:val="top"/>
          </w:tcPr>
          <w:p w14:paraId="79949FA9">
            <w:pPr>
              <w:pStyle w:val="23"/>
              <w:spacing w:before="90" w:line="219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有明确的</w:t>
            </w:r>
          </w:p>
          <w:p w14:paraId="1C154C85">
            <w:pPr>
              <w:pStyle w:val="23"/>
              <w:spacing w:before="140" w:line="221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问题导向</w:t>
            </w:r>
          </w:p>
        </w:tc>
        <w:tc>
          <w:tcPr>
            <w:tcW w:w="7277" w:type="dxa"/>
            <w:vAlign w:val="top"/>
          </w:tcPr>
          <w:p w14:paraId="615E28C2">
            <w:pPr>
              <w:pStyle w:val="23"/>
              <w:spacing w:before="99" w:line="285" w:lineRule="auto"/>
              <w:ind w:left="105" w:hanging="9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立足于课堂教学真实问题，能体现“以学生为中心”的理念，提出解决问题 的思路与方案。</w:t>
            </w:r>
          </w:p>
        </w:tc>
      </w:tr>
    </w:tbl>
    <w:p w14:paraId="36666791">
      <w:pPr>
        <w:rPr>
          <w:rFonts w:ascii="Arial"/>
          <w:sz w:val="21"/>
        </w:rPr>
      </w:pPr>
    </w:p>
    <w:p w14:paraId="014A0D51">
      <w:pPr>
        <w:rPr>
          <w:rFonts w:ascii="Arial" w:hAnsi="Arial" w:eastAsia="Arial" w:cs="Arial"/>
          <w:sz w:val="21"/>
          <w:szCs w:val="21"/>
        </w:rPr>
        <w:sectPr>
          <w:footerReference r:id="rId4" w:type="default"/>
          <w:pgSz w:w="11900" w:h="16830"/>
          <w:pgMar w:top="1430" w:right="1574" w:bottom="888" w:left="1574" w:header="0" w:footer="735" w:gutter="0"/>
          <w:cols w:space="720" w:num="1"/>
        </w:sectPr>
      </w:pPr>
    </w:p>
    <w:tbl>
      <w:tblPr>
        <w:tblStyle w:val="15"/>
        <w:tblW w:w="87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7277"/>
      </w:tblGrid>
      <w:tr w14:paraId="437AF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463" w:type="dxa"/>
            <w:vAlign w:val="top"/>
          </w:tcPr>
          <w:p w14:paraId="2B565283">
            <w:pPr>
              <w:pStyle w:val="23"/>
              <w:spacing w:before="188" w:line="218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7277" w:type="dxa"/>
            <w:vAlign w:val="top"/>
          </w:tcPr>
          <w:p w14:paraId="338F85A8">
            <w:pPr>
              <w:pStyle w:val="23"/>
              <w:spacing w:before="188" w:line="218" w:lineRule="auto"/>
              <w:ind w:left="318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75498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463" w:type="dxa"/>
            <w:vAlign w:val="top"/>
          </w:tcPr>
          <w:p w14:paraId="2BCBB17F">
            <w:pPr>
              <w:pStyle w:val="23"/>
              <w:spacing w:before="77" w:line="219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有明显的</w:t>
            </w:r>
          </w:p>
          <w:p w14:paraId="5FEA0093">
            <w:pPr>
              <w:pStyle w:val="23"/>
              <w:spacing w:before="149" w:line="219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创新特色</w:t>
            </w:r>
          </w:p>
        </w:tc>
        <w:tc>
          <w:tcPr>
            <w:tcW w:w="7277" w:type="dxa"/>
            <w:vAlign w:val="top"/>
          </w:tcPr>
          <w:p w14:paraId="3A7999A1">
            <w:pPr>
              <w:pStyle w:val="23"/>
              <w:spacing w:before="89" w:line="293" w:lineRule="auto"/>
              <w:ind w:left="121" w:hanging="29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把“四新”建设要求贯穿到教学过程中，对教学目标、内容、方法、活动、</w:t>
            </w:r>
            <w:r>
              <w:rPr>
                <w:spacing w:val="12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评价等教学过程各环节分析全面、透彻，能够凸显教学创新</w:t>
            </w:r>
            <w:r>
              <w:rPr>
                <w:spacing w:val="-4"/>
                <w:sz w:val="22"/>
                <w:szCs w:val="22"/>
              </w:rPr>
              <w:t>点。</w:t>
            </w:r>
          </w:p>
        </w:tc>
      </w:tr>
      <w:tr w14:paraId="7959F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463" w:type="dxa"/>
            <w:vAlign w:val="top"/>
          </w:tcPr>
          <w:p w14:paraId="074D89C8">
            <w:pPr>
              <w:pStyle w:val="23"/>
              <w:spacing w:before="100" w:line="220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体现课程</w:t>
            </w:r>
          </w:p>
          <w:p w14:paraId="5C8A309A">
            <w:pPr>
              <w:pStyle w:val="23"/>
              <w:spacing w:before="147" w:line="219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思政特色</w:t>
            </w:r>
          </w:p>
        </w:tc>
        <w:tc>
          <w:tcPr>
            <w:tcW w:w="7277" w:type="dxa"/>
            <w:vAlign w:val="top"/>
          </w:tcPr>
          <w:p w14:paraId="447FC794">
            <w:pPr>
              <w:pStyle w:val="23"/>
              <w:spacing w:before="102" w:line="287" w:lineRule="auto"/>
              <w:ind w:left="102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概述在课程思政建设方面的特色、亮点和创新点，形成可供借鉴推广的经验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做法。</w:t>
            </w:r>
          </w:p>
        </w:tc>
      </w:tr>
      <w:tr w14:paraId="62F19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463" w:type="dxa"/>
            <w:vAlign w:val="top"/>
          </w:tcPr>
          <w:p w14:paraId="64C55B42">
            <w:pPr>
              <w:pStyle w:val="23"/>
              <w:spacing w:before="83" w:line="219" w:lineRule="auto"/>
              <w:ind w:left="28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关注技术</w:t>
            </w:r>
          </w:p>
          <w:p w14:paraId="2B69B16A">
            <w:pPr>
              <w:pStyle w:val="23"/>
              <w:spacing w:before="149" w:line="219" w:lineRule="auto"/>
              <w:ind w:left="17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应用于教学</w:t>
            </w:r>
          </w:p>
        </w:tc>
        <w:tc>
          <w:tcPr>
            <w:tcW w:w="7277" w:type="dxa"/>
            <w:vAlign w:val="top"/>
          </w:tcPr>
          <w:p w14:paraId="72976F0C">
            <w:pPr>
              <w:pStyle w:val="23"/>
              <w:spacing w:before="96" w:line="290" w:lineRule="auto"/>
              <w:ind w:left="12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能够把握新时代下学生学习特点，充分利用现代信息技术开展课程教学活动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和学习评价。</w:t>
            </w:r>
          </w:p>
        </w:tc>
      </w:tr>
      <w:tr w14:paraId="50DE9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463" w:type="dxa"/>
            <w:vAlign w:val="top"/>
          </w:tcPr>
          <w:p w14:paraId="12786AAF">
            <w:pPr>
              <w:pStyle w:val="23"/>
              <w:spacing w:before="94" w:line="293" w:lineRule="auto"/>
              <w:ind w:left="178" w:right="185" w:firstLine="109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注重创新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5"/>
                <w:sz w:val="22"/>
                <w:szCs w:val="22"/>
              </w:rPr>
              <w:t>成果的辐射</w:t>
            </w:r>
          </w:p>
        </w:tc>
        <w:tc>
          <w:tcPr>
            <w:tcW w:w="7277" w:type="dxa"/>
            <w:vAlign w:val="top"/>
          </w:tcPr>
          <w:p w14:paraId="40C50DD6">
            <w:pPr>
              <w:pStyle w:val="23"/>
              <w:spacing w:before="97" w:line="292" w:lineRule="auto"/>
              <w:ind w:left="92" w:firstLine="9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能够对创新实践成效开展基于证据的有效分析与总结，形成具有较强辐射推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广价值的教学新方法、新模式。</w:t>
            </w:r>
          </w:p>
        </w:tc>
      </w:tr>
    </w:tbl>
    <w:p w14:paraId="5EF7C6A2">
      <w:pPr>
        <w:spacing w:before="209" w:line="224" w:lineRule="auto"/>
        <w:ind w:left="97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4"/>
          <w:sz w:val="31"/>
          <w:szCs w:val="31"/>
        </w:rPr>
        <w:t>(</w:t>
      </w:r>
      <w:r>
        <w:rPr>
          <w:rFonts w:ascii="楷体" w:hAnsi="楷体" w:eastAsia="楷体" w:cs="楷体"/>
          <w:spacing w:val="-3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</w:rPr>
        <w:t>三</w:t>
      </w:r>
      <w:r>
        <w:rPr>
          <w:rFonts w:ascii="楷体" w:hAnsi="楷体" w:eastAsia="楷体" w:cs="楷体"/>
          <w:spacing w:val="-3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</w:rPr>
        <w:t>)</w:t>
      </w:r>
      <w:r>
        <w:rPr>
          <w:rFonts w:ascii="楷体" w:hAnsi="楷体" w:eastAsia="楷体" w:cs="楷体"/>
          <w:b/>
          <w:bCs/>
          <w:spacing w:val="24"/>
          <w:sz w:val="31"/>
          <w:szCs w:val="31"/>
        </w:rPr>
        <w:t>教学设计创新汇报(40分)</w:t>
      </w:r>
    </w:p>
    <w:p w14:paraId="3D314094">
      <w:pPr>
        <w:spacing w:line="50" w:lineRule="auto"/>
        <w:rPr>
          <w:rFonts w:ascii="Arial"/>
          <w:sz w:val="2"/>
        </w:rPr>
      </w:pPr>
    </w:p>
    <w:tbl>
      <w:tblPr>
        <w:tblStyle w:val="15"/>
        <w:tblW w:w="873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7284"/>
      </w:tblGrid>
      <w:tr w14:paraId="777B5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53" w:type="dxa"/>
            <w:vAlign w:val="top"/>
          </w:tcPr>
          <w:p w14:paraId="1E61766B">
            <w:pPr>
              <w:pStyle w:val="23"/>
              <w:spacing w:before="138" w:line="218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7284" w:type="dxa"/>
            <w:vAlign w:val="top"/>
          </w:tcPr>
          <w:p w14:paraId="28C709A8">
            <w:pPr>
              <w:pStyle w:val="23"/>
              <w:spacing w:before="138" w:line="218" w:lineRule="auto"/>
              <w:ind w:left="318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71242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1453" w:type="dxa"/>
            <w:vAlign w:val="top"/>
          </w:tcPr>
          <w:p w14:paraId="3A46E84E">
            <w:pPr>
              <w:spacing w:line="311" w:lineRule="auto"/>
              <w:rPr>
                <w:rFonts w:ascii="Arial"/>
                <w:sz w:val="21"/>
              </w:rPr>
            </w:pPr>
          </w:p>
          <w:p w14:paraId="5D3CC659">
            <w:pPr>
              <w:spacing w:line="311" w:lineRule="auto"/>
              <w:rPr>
                <w:rFonts w:ascii="Arial"/>
                <w:sz w:val="21"/>
              </w:rPr>
            </w:pPr>
          </w:p>
          <w:p w14:paraId="7113002F">
            <w:pPr>
              <w:pStyle w:val="23"/>
              <w:spacing w:before="71" w:line="220" w:lineRule="auto"/>
              <w:ind w:left="16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理念与目标</w:t>
            </w:r>
          </w:p>
        </w:tc>
        <w:tc>
          <w:tcPr>
            <w:tcW w:w="7284" w:type="dxa"/>
            <w:vAlign w:val="top"/>
          </w:tcPr>
          <w:p w14:paraId="4860D923">
            <w:pPr>
              <w:pStyle w:val="23"/>
              <w:spacing w:before="120" w:line="312" w:lineRule="auto"/>
              <w:ind w:left="121" w:hanging="9"/>
              <w:jc w:val="both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课程设计体现“以学生为中心”的理念，教学</w:t>
            </w:r>
            <w:r>
              <w:rPr>
                <w:spacing w:val="-10"/>
                <w:sz w:val="22"/>
                <w:szCs w:val="22"/>
              </w:rPr>
              <w:t>目标符合学科特点和学生实际；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在各自学科领域推进“四新”建设，带动教学模式创新；体现对知识、</w:t>
            </w:r>
            <w:r>
              <w:rPr>
                <w:spacing w:val="-7"/>
                <w:sz w:val="22"/>
                <w:szCs w:val="22"/>
              </w:rPr>
              <w:t>能力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pacing w:val="-6"/>
                <w:sz w:val="22"/>
                <w:szCs w:val="22"/>
              </w:rPr>
              <w:t>与思维等方面的要求。教学目标清楚、具体，易于理解，便于实</w:t>
            </w:r>
            <w:r>
              <w:rPr>
                <w:spacing w:val="-7"/>
                <w:sz w:val="22"/>
                <w:szCs w:val="22"/>
              </w:rPr>
              <w:t>施，行为动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pacing w:val="-3"/>
                <w:sz w:val="22"/>
                <w:szCs w:val="22"/>
              </w:rPr>
              <w:t>词使用正确，阐述规范。</w:t>
            </w:r>
          </w:p>
        </w:tc>
      </w:tr>
      <w:tr w14:paraId="28C24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2E010928">
            <w:pPr>
              <w:spacing w:line="474" w:lineRule="auto"/>
              <w:rPr>
                <w:rFonts w:ascii="Arial"/>
                <w:sz w:val="21"/>
              </w:rPr>
            </w:pPr>
          </w:p>
          <w:p w14:paraId="4A80A358">
            <w:pPr>
              <w:pStyle w:val="23"/>
              <w:spacing w:before="72" w:line="219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内容分析</w:t>
            </w:r>
          </w:p>
        </w:tc>
        <w:tc>
          <w:tcPr>
            <w:tcW w:w="7284" w:type="dxa"/>
            <w:vAlign w:val="top"/>
          </w:tcPr>
          <w:p w14:paraId="334F79ED">
            <w:pPr>
              <w:pStyle w:val="23"/>
              <w:spacing w:before="142" w:line="219" w:lineRule="auto"/>
              <w:ind w:left="1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教学内容前后知识点关系、地位、作用描述准确，重点、难点分析清</w:t>
            </w:r>
            <w:r>
              <w:rPr>
                <w:spacing w:val="-1"/>
                <w:sz w:val="22"/>
                <w:szCs w:val="22"/>
              </w:rPr>
              <w:t>楚。</w:t>
            </w:r>
          </w:p>
        </w:tc>
      </w:tr>
      <w:tr w14:paraId="74891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47CE0471">
            <w:pPr>
              <w:rPr>
                <w:rFonts w:ascii="Arial"/>
                <w:sz w:val="21"/>
              </w:rPr>
            </w:pPr>
          </w:p>
        </w:tc>
        <w:tc>
          <w:tcPr>
            <w:tcW w:w="7284" w:type="dxa"/>
            <w:vAlign w:val="top"/>
          </w:tcPr>
          <w:p w14:paraId="3CFCAB76">
            <w:pPr>
              <w:pStyle w:val="23"/>
              <w:spacing w:before="120" w:line="312" w:lineRule="auto"/>
              <w:ind w:left="121" w:hanging="9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能够将教学内容与学科研究新进展、实践发展新经验、社会需求新变化相联</w:t>
            </w:r>
          </w:p>
          <w:p w14:paraId="2CBBE660">
            <w:pPr>
              <w:pStyle w:val="23"/>
              <w:spacing w:before="120" w:line="312" w:lineRule="auto"/>
              <w:ind w:left="121" w:hanging="9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系。</w:t>
            </w:r>
          </w:p>
        </w:tc>
      </w:tr>
      <w:tr w14:paraId="21BDB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453" w:type="dxa"/>
            <w:vAlign w:val="top"/>
          </w:tcPr>
          <w:p w14:paraId="03140F1C">
            <w:pPr>
              <w:pStyle w:val="23"/>
              <w:spacing w:before="151" w:line="220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学情分析</w:t>
            </w:r>
          </w:p>
        </w:tc>
        <w:tc>
          <w:tcPr>
            <w:tcW w:w="7284" w:type="dxa"/>
            <w:vAlign w:val="top"/>
          </w:tcPr>
          <w:p w14:paraId="3EB11FF2">
            <w:pPr>
              <w:pStyle w:val="23"/>
              <w:spacing w:before="120" w:line="312" w:lineRule="auto"/>
              <w:ind w:left="121" w:hanging="9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学生认知特点和起点水平表述恰当，学习习惯和能力分析合理。</w:t>
            </w:r>
          </w:p>
        </w:tc>
      </w:tr>
      <w:tr w14:paraId="7AF82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53" w:type="dxa"/>
            <w:vAlign w:val="top"/>
          </w:tcPr>
          <w:p w14:paraId="6C16A483">
            <w:pPr>
              <w:pStyle w:val="23"/>
              <w:spacing w:before="291" w:line="220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课程思政</w:t>
            </w:r>
          </w:p>
        </w:tc>
        <w:tc>
          <w:tcPr>
            <w:tcW w:w="7284" w:type="dxa"/>
            <w:vAlign w:val="top"/>
          </w:tcPr>
          <w:p w14:paraId="3FF732E0">
            <w:pPr>
              <w:pStyle w:val="23"/>
              <w:spacing w:before="120" w:line="312" w:lineRule="auto"/>
              <w:ind w:left="121" w:hanging="9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将思想政治教育与专业教育有机融合，引用典型教学案例举例说明，具有示 范作用和推广价值。</w:t>
            </w:r>
          </w:p>
        </w:tc>
      </w:tr>
      <w:tr w14:paraId="27EED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574F0F94">
            <w:pPr>
              <w:spacing w:line="256" w:lineRule="auto"/>
              <w:rPr>
                <w:rFonts w:ascii="Arial"/>
                <w:sz w:val="21"/>
              </w:rPr>
            </w:pPr>
          </w:p>
          <w:p w14:paraId="0105992F">
            <w:pPr>
              <w:spacing w:line="256" w:lineRule="auto"/>
              <w:rPr>
                <w:rFonts w:ascii="Arial"/>
                <w:sz w:val="21"/>
              </w:rPr>
            </w:pPr>
          </w:p>
          <w:p w14:paraId="28333EA8">
            <w:pPr>
              <w:spacing w:line="257" w:lineRule="auto"/>
              <w:rPr>
                <w:rFonts w:ascii="Arial"/>
                <w:sz w:val="21"/>
              </w:rPr>
            </w:pPr>
          </w:p>
          <w:p w14:paraId="25795082">
            <w:pPr>
              <w:spacing w:line="257" w:lineRule="auto"/>
              <w:rPr>
                <w:rFonts w:ascii="Arial"/>
                <w:sz w:val="21"/>
              </w:rPr>
            </w:pPr>
          </w:p>
          <w:p w14:paraId="3237842E">
            <w:pPr>
              <w:spacing w:line="257" w:lineRule="auto"/>
              <w:rPr>
                <w:rFonts w:ascii="Arial"/>
                <w:sz w:val="21"/>
              </w:rPr>
            </w:pPr>
          </w:p>
          <w:p w14:paraId="5197CBF3">
            <w:pPr>
              <w:pStyle w:val="23"/>
              <w:spacing w:before="71" w:line="220" w:lineRule="auto"/>
              <w:ind w:left="16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过程与方法</w:t>
            </w:r>
          </w:p>
        </w:tc>
        <w:tc>
          <w:tcPr>
            <w:tcW w:w="7284" w:type="dxa"/>
            <w:vAlign w:val="top"/>
          </w:tcPr>
          <w:p w14:paraId="317B020E">
            <w:pPr>
              <w:pStyle w:val="23"/>
              <w:spacing w:before="120" w:line="312" w:lineRule="auto"/>
              <w:ind w:left="121" w:hanging="9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教学活动丰富多样，能体现各等级水平的知识、技能和情感价值目标。</w:t>
            </w:r>
          </w:p>
        </w:tc>
      </w:tr>
      <w:tr w14:paraId="02CC3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424D61FA">
            <w:pPr>
              <w:rPr>
                <w:rFonts w:ascii="Arial"/>
                <w:sz w:val="21"/>
              </w:rPr>
            </w:pPr>
          </w:p>
        </w:tc>
        <w:tc>
          <w:tcPr>
            <w:tcW w:w="7284" w:type="dxa"/>
            <w:vAlign w:val="top"/>
          </w:tcPr>
          <w:p w14:paraId="7EF61FA6">
            <w:pPr>
              <w:pStyle w:val="23"/>
              <w:spacing w:before="120" w:line="312" w:lineRule="auto"/>
              <w:ind w:left="121" w:hanging="9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能创造性地使用教材，内容充实精要，适合学生水平；结构合理，过渡自然， 便于操作；理论联系实际，启发学生思考及问题解决。</w:t>
            </w:r>
          </w:p>
        </w:tc>
      </w:tr>
      <w:tr w14:paraId="6C680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66983759">
            <w:pPr>
              <w:rPr>
                <w:rFonts w:ascii="Arial"/>
                <w:sz w:val="21"/>
              </w:rPr>
            </w:pPr>
          </w:p>
        </w:tc>
        <w:tc>
          <w:tcPr>
            <w:tcW w:w="7284" w:type="dxa"/>
            <w:vAlign w:val="top"/>
          </w:tcPr>
          <w:p w14:paraId="129A3FB8">
            <w:pPr>
              <w:pStyle w:val="23"/>
              <w:spacing w:before="120" w:line="312" w:lineRule="auto"/>
              <w:ind w:left="121" w:hanging="9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能根据课程特点，用创新的教学策略、方法、技术解决课堂中存在的各种问 题和困难；教学重点突出，难点把握准确。</w:t>
            </w:r>
          </w:p>
        </w:tc>
      </w:tr>
      <w:tr w14:paraId="42A32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03737F24">
            <w:pPr>
              <w:rPr>
                <w:rFonts w:ascii="Arial"/>
                <w:sz w:val="21"/>
              </w:rPr>
            </w:pPr>
          </w:p>
        </w:tc>
        <w:tc>
          <w:tcPr>
            <w:tcW w:w="7284" w:type="dxa"/>
            <w:vAlign w:val="top"/>
          </w:tcPr>
          <w:p w14:paraId="6F481D09">
            <w:pPr>
              <w:pStyle w:val="23"/>
              <w:spacing w:before="120" w:line="312" w:lineRule="auto"/>
              <w:ind w:left="121" w:hanging="9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合理选择与应用信息技术，创设教学环境，关注师生、生生互动，强调自主， 合作、探究的学习。</w:t>
            </w:r>
          </w:p>
        </w:tc>
      </w:tr>
      <w:tr w14:paraId="614A00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1E4DD695">
            <w:pPr>
              <w:spacing w:line="332" w:lineRule="auto"/>
              <w:rPr>
                <w:rFonts w:ascii="Arial"/>
                <w:sz w:val="21"/>
              </w:rPr>
            </w:pPr>
          </w:p>
          <w:p w14:paraId="7ED41041">
            <w:pPr>
              <w:pStyle w:val="23"/>
              <w:spacing w:before="71" w:line="219" w:lineRule="auto"/>
              <w:ind w:left="16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考评与反馈</w:t>
            </w:r>
          </w:p>
        </w:tc>
        <w:tc>
          <w:tcPr>
            <w:tcW w:w="7284" w:type="dxa"/>
            <w:vAlign w:val="top"/>
          </w:tcPr>
          <w:p w14:paraId="3F292E32">
            <w:pPr>
              <w:pStyle w:val="23"/>
              <w:spacing w:before="157" w:line="218" w:lineRule="auto"/>
              <w:ind w:left="1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采用多元评价方法，合理评价学生知识、能力与思维的发</w:t>
            </w:r>
            <w:r>
              <w:rPr>
                <w:spacing w:val="-1"/>
                <w:sz w:val="22"/>
                <w:szCs w:val="22"/>
              </w:rPr>
              <w:t>展。</w:t>
            </w:r>
          </w:p>
        </w:tc>
      </w:tr>
      <w:tr w14:paraId="1C455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332CDE8A">
            <w:pPr>
              <w:rPr>
                <w:rFonts w:ascii="Arial"/>
                <w:sz w:val="21"/>
              </w:rPr>
            </w:pPr>
          </w:p>
        </w:tc>
        <w:tc>
          <w:tcPr>
            <w:tcW w:w="7284" w:type="dxa"/>
            <w:vAlign w:val="top"/>
          </w:tcPr>
          <w:p w14:paraId="44E390B4">
            <w:pPr>
              <w:pStyle w:val="23"/>
              <w:spacing w:before="157" w:line="218" w:lineRule="auto"/>
              <w:ind w:left="1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过程性评价与终结性评价相结合，有适合学科、学生特点的评价规则与标准。</w:t>
            </w:r>
          </w:p>
        </w:tc>
      </w:tr>
    </w:tbl>
    <w:p w14:paraId="4AE5DA5F">
      <w:pPr>
        <w:rPr>
          <w:rFonts w:ascii="Arial"/>
          <w:sz w:val="21"/>
        </w:rPr>
      </w:pPr>
    </w:p>
    <w:p w14:paraId="7444329D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30"/>
          <w:pgMar w:top="1425" w:right="1574" w:bottom="888" w:left="1574" w:header="0" w:footer="735" w:gutter="0"/>
          <w:cols w:space="720" w:num="1"/>
        </w:sectPr>
      </w:pPr>
    </w:p>
    <w:tbl>
      <w:tblPr>
        <w:tblStyle w:val="15"/>
        <w:tblW w:w="874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3"/>
        <w:gridCol w:w="7298"/>
      </w:tblGrid>
      <w:tr w14:paraId="7B657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443" w:type="dxa"/>
            <w:vAlign w:val="top"/>
          </w:tcPr>
          <w:p w14:paraId="6D442E1A">
            <w:pPr>
              <w:pStyle w:val="23"/>
              <w:spacing w:before="148" w:line="218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7298" w:type="dxa"/>
            <w:vAlign w:val="top"/>
          </w:tcPr>
          <w:p w14:paraId="08C38483">
            <w:pPr>
              <w:pStyle w:val="23"/>
              <w:spacing w:before="148" w:line="218" w:lineRule="auto"/>
              <w:ind w:left="319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74E57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443" w:type="dxa"/>
            <w:vAlign w:val="top"/>
          </w:tcPr>
          <w:p w14:paraId="37C16BD3">
            <w:pPr>
              <w:pStyle w:val="23"/>
              <w:spacing w:before="288" w:line="219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文档规范</w:t>
            </w:r>
          </w:p>
        </w:tc>
        <w:tc>
          <w:tcPr>
            <w:tcW w:w="7298" w:type="dxa"/>
            <w:vAlign w:val="top"/>
          </w:tcPr>
          <w:p w14:paraId="138C9559">
            <w:pPr>
              <w:pStyle w:val="23"/>
              <w:spacing w:before="111" w:line="283" w:lineRule="auto"/>
              <w:ind w:left="111" w:hanging="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文字、符号、单位和公式符合标准规范；语言筒洁、</w:t>
            </w:r>
            <w:r>
              <w:rPr>
                <w:spacing w:val="-3"/>
                <w:sz w:val="22"/>
                <w:szCs w:val="22"/>
              </w:rPr>
              <w:t>明了，字体、图</w:t>
            </w:r>
            <w:r>
              <w:rPr>
                <w:color w:val="202040"/>
                <w:spacing w:val="-3"/>
                <w:sz w:val="22"/>
                <w:szCs w:val="22"/>
              </w:rPr>
              <w:t>表运用</w:t>
            </w:r>
            <w:r>
              <w:rPr>
                <w:color w:val="202040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适当；文档结构完整，布局合理，格式美观。</w:t>
            </w:r>
          </w:p>
        </w:tc>
      </w:tr>
      <w:tr w14:paraId="4FE16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443" w:type="dxa"/>
            <w:vAlign w:val="top"/>
          </w:tcPr>
          <w:p w14:paraId="6A06CEAF">
            <w:pPr>
              <w:pStyle w:val="23"/>
              <w:spacing w:before="303" w:line="220" w:lineRule="auto"/>
              <w:ind w:left="27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设计创新</w:t>
            </w:r>
          </w:p>
        </w:tc>
        <w:tc>
          <w:tcPr>
            <w:tcW w:w="7298" w:type="dxa"/>
            <w:vAlign w:val="top"/>
          </w:tcPr>
          <w:p w14:paraId="6EED11F2">
            <w:pPr>
              <w:pStyle w:val="23"/>
              <w:spacing w:before="126" w:line="283" w:lineRule="auto"/>
              <w:ind w:left="132" w:right="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教学方案的整体设计富有创新性，能体现高</w:t>
            </w:r>
            <w:r>
              <w:rPr>
                <w:spacing w:val="-4"/>
                <w:sz w:val="22"/>
                <w:szCs w:val="22"/>
              </w:rPr>
              <w:t>校教学理念和要求；教学方法选</w:t>
            </w:r>
            <w:r>
              <w:rPr>
                <w:sz w:val="22"/>
                <w:szCs w:val="22"/>
              </w:rPr>
              <w:t xml:space="preserve"> 择适当，教学过程设计有突出的特色。</w:t>
            </w:r>
          </w:p>
        </w:tc>
      </w:tr>
    </w:tbl>
    <w:p w14:paraId="50200134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30"/>
          <w:pgMar w:top="1425" w:right="1563" w:bottom="902" w:left="1584" w:header="0" w:footer="731" w:gutter="0"/>
          <w:cols w:space="720" w:num="1"/>
        </w:sectPr>
      </w:pPr>
    </w:p>
    <w:p w14:paraId="607EF8A5">
      <w:pPr>
        <w:widowControl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en-US"/>
        </w:rPr>
      </w:pPr>
    </w:p>
    <w:sectPr>
      <w:headerReference r:id="rId7" w:type="default"/>
      <w:footerReference r:id="rId8" w:type="default"/>
      <w:pgSz w:w="11906" w:h="16838"/>
      <w:pgMar w:top="1077" w:right="1474" w:bottom="567" w:left="1588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F455A">
    <w:pPr>
      <w:spacing w:line="175" w:lineRule="auto"/>
      <w:ind w:left="4065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8B91E">
    <w:pPr>
      <w:spacing w:line="175" w:lineRule="auto"/>
      <w:ind w:left="4265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-7"/>
        <w:sz w:val="17"/>
        <w:szCs w:val="17"/>
      </w:rPr>
      <w:t>15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0EDBD">
    <w:pPr>
      <w:spacing w:line="175" w:lineRule="auto"/>
      <w:ind w:left="4275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-7"/>
        <w:sz w:val="17"/>
        <w:szCs w:val="17"/>
      </w:rPr>
      <w:t>16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E9EE6">
    <w:pPr>
      <w:spacing w:line="177" w:lineRule="auto"/>
      <w:ind w:left="4265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6"/>
        <w:sz w:val="19"/>
        <w:szCs w:val="19"/>
      </w:rPr>
      <w:t>17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57B68">
    <w:pPr>
      <w:pStyle w:val="8"/>
      <w:framePr w:wrap="around" w:vAnchor="text" w:hAnchor="margin" w:xAlign="outside" w:y="1"/>
      <w:rPr>
        <w:rStyle w:val="12"/>
        <w:rFonts w:ascii="宋体" w:hAnsi="宋体"/>
        <w:sz w:val="28"/>
        <w:szCs w:val="28"/>
      </w:rPr>
    </w:pPr>
    <w:r>
      <w:rPr>
        <w:rStyle w:val="12"/>
        <w:rFonts w:ascii="宋体" w:hAnsi="宋体"/>
        <w:sz w:val="28"/>
        <w:szCs w:val="28"/>
      </w:rPr>
      <w:t xml:space="preserve">— </w:t>
    </w:r>
    <w:r>
      <w:rPr>
        <w:rStyle w:val="12"/>
        <w:rFonts w:ascii="宋体" w:hAnsi="宋体"/>
        <w:sz w:val="28"/>
        <w:szCs w:val="28"/>
      </w:rPr>
      <w:fldChar w:fldCharType="begin"/>
    </w:r>
    <w:r>
      <w:rPr>
        <w:rStyle w:val="12"/>
        <w:rFonts w:ascii="宋体" w:hAnsi="宋体"/>
        <w:sz w:val="28"/>
        <w:szCs w:val="28"/>
      </w:rPr>
      <w:instrText xml:space="preserve"> PAGE </w:instrText>
    </w:r>
    <w:r>
      <w:rPr>
        <w:rStyle w:val="12"/>
        <w:rFonts w:ascii="宋体" w:hAnsi="宋体"/>
        <w:sz w:val="28"/>
        <w:szCs w:val="28"/>
      </w:rPr>
      <w:fldChar w:fldCharType="separate"/>
    </w:r>
    <w:r>
      <w:rPr>
        <w:rStyle w:val="12"/>
        <w:rFonts w:ascii="宋体" w:hAnsi="宋体"/>
        <w:sz w:val="28"/>
        <w:szCs w:val="28"/>
      </w:rPr>
      <w:t>1</w:t>
    </w:r>
    <w:r>
      <w:rPr>
        <w:rStyle w:val="12"/>
        <w:rFonts w:ascii="宋体" w:hAnsi="宋体"/>
        <w:sz w:val="28"/>
        <w:szCs w:val="28"/>
      </w:rPr>
      <w:fldChar w:fldCharType="end"/>
    </w:r>
    <w:r>
      <w:rPr>
        <w:rStyle w:val="12"/>
        <w:rFonts w:ascii="宋体" w:hAnsi="宋体"/>
        <w:sz w:val="28"/>
        <w:szCs w:val="28"/>
      </w:rPr>
      <w:t xml:space="preserve"> —</w:t>
    </w:r>
  </w:p>
  <w:p w14:paraId="68EBF7F5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3A28C"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3MWY4NmM2NjAzYzFjODBkYTA5NTJlODRjZGNlNGEifQ=="/>
  </w:docVars>
  <w:rsids>
    <w:rsidRoot w:val="000369B0"/>
    <w:rsid w:val="00000BF2"/>
    <w:rsid w:val="00017B48"/>
    <w:rsid w:val="00023D20"/>
    <w:rsid w:val="000311FA"/>
    <w:rsid w:val="00032B8B"/>
    <w:rsid w:val="000369B0"/>
    <w:rsid w:val="00041551"/>
    <w:rsid w:val="00042F7E"/>
    <w:rsid w:val="00043559"/>
    <w:rsid w:val="0009062D"/>
    <w:rsid w:val="00093C8C"/>
    <w:rsid w:val="00094462"/>
    <w:rsid w:val="000F03EE"/>
    <w:rsid w:val="00100BB9"/>
    <w:rsid w:val="00123E0A"/>
    <w:rsid w:val="00126CDD"/>
    <w:rsid w:val="00147042"/>
    <w:rsid w:val="0017192A"/>
    <w:rsid w:val="00175AEA"/>
    <w:rsid w:val="001927CD"/>
    <w:rsid w:val="001A1D56"/>
    <w:rsid w:val="001A7133"/>
    <w:rsid w:val="001B3968"/>
    <w:rsid w:val="001C3461"/>
    <w:rsid w:val="001E2B95"/>
    <w:rsid w:val="001E7A60"/>
    <w:rsid w:val="001F3539"/>
    <w:rsid w:val="001F765B"/>
    <w:rsid w:val="00200E4F"/>
    <w:rsid w:val="002209E4"/>
    <w:rsid w:val="00221C1A"/>
    <w:rsid w:val="00226458"/>
    <w:rsid w:val="00232CC9"/>
    <w:rsid w:val="00263A52"/>
    <w:rsid w:val="002719EA"/>
    <w:rsid w:val="0028222B"/>
    <w:rsid w:val="0028655F"/>
    <w:rsid w:val="002B2BCB"/>
    <w:rsid w:val="002C767C"/>
    <w:rsid w:val="002E472C"/>
    <w:rsid w:val="002E4F40"/>
    <w:rsid w:val="002F2250"/>
    <w:rsid w:val="002F41BE"/>
    <w:rsid w:val="00306118"/>
    <w:rsid w:val="00316CA6"/>
    <w:rsid w:val="00337409"/>
    <w:rsid w:val="003415F7"/>
    <w:rsid w:val="00373966"/>
    <w:rsid w:val="003B01D9"/>
    <w:rsid w:val="003C48B2"/>
    <w:rsid w:val="003F053C"/>
    <w:rsid w:val="00414BF6"/>
    <w:rsid w:val="00415197"/>
    <w:rsid w:val="0042245F"/>
    <w:rsid w:val="00430524"/>
    <w:rsid w:val="00432A18"/>
    <w:rsid w:val="004341BB"/>
    <w:rsid w:val="0044334B"/>
    <w:rsid w:val="00450E82"/>
    <w:rsid w:val="00461AFE"/>
    <w:rsid w:val="00466627"/>
    <w:rsid w:val="004821BD"/>
    <w:rsid w:val="00487F38"/>
    <w:rsid w:val="004B5973"/>
    <w:rsid w:val="004B5999"/>
    <w:rsid w:val="004B7C8A"/>
    <w:rsid w:val="004E2227"/>
    <w:rsid w:val="004F219C"/>
    <w:rsid w:val="005064BB"/>
    <w:rsid w:val="00533602"/>
    <w:rsid w:val="00533B2A"/>
    <w:rsid w:val="00554B46"/>
    <w:rsid w:val="00555147"/>
    <w:rsid w:val="00584BD5"/>
    <w:rsid w:val="005A6B25"/>
    <w:rsid w:val="005B0366"/>
    <w:rsid w:val="005C3313"/>
    <w:rsid w:val="005C5F46"/>
    <w:rsid w:val="005C7960"/>
    <w:rsid w:val="005D180E"/>
    <w:rsid w:val="005D2A96"/>
    <w:rsid w:val="005E3367"/>
    <w:rsid w:val="006003BB"/>
    <w:rsid w:val="00616581"/>
    <w:rsid w:val="0063580F"/>
    <w:rsid w:val="0066258E"/>
    <w:rsid w:val="00665340"/>
    <w:rsid w:val="00675239"/>
    <w:rsid w:val="00676D76"/>
    <w:rsid w:val="006A42B9"/>
    <w:rsid w:val="006C33BF"/>
    <w:rsid w:val="006C3E93"/>
    <w:rsid w:val="006E213C"/>
    <w:rsid w:val="006F54BB"/>
    <w:rsid w:val="00713927"/>
    <w:rsid w:val="0072661B"/>
    <w:rsid w:val="00770921"/>
    <w:rsid w:val="00790633"/>
    <w:rsid w:val="00790AD3"/>
    <w:rsid w:val="007A1047"/>
    <w:rsid w:val="007C2B1C"/>
    <w:rsid w:val="007D3797"/>
    <w:rsid w:val="007D66B9"/>
    <w:rsid w:val="007E0681"/>
    <w:rsid w:val="007E71F7"/>
    <w:rsid w:val="00803C7A"/>
    <w:rsid w:val="008079BD"/>
    <w:rsid w:val="00834B7F"/>
    <w:rsid w:val="00846B7F"/>
    <w:rsid w:val="00862061"/>
    <w:rsid w:val="00865610"/>
    <w:rsid w:val="00865CB1"/>
    <w:rsid w:val="00870CEB"/>
    <w:rsid w:val="008767F6"/>
    <w:rsid w:val="008945E1"/>
    <w:rsid w:val="008967C0"/>
    <w:rsid w:val="008A6FEA"/>
    <w:rsid w:val="008D0615"/>
    <w:rsid w:val="008E0EF7"/>
    <w:rsid w:val="008F2E76"/>
    <w:rsid w:val="009036B3"/>
    <w:rsid w:val="00934661"/>
    <w:rsid w:val="00943941"/>
    <w:rsid w:val="009563F2"/>
    <w:rsid w:val="0096270C"/>
    <w:rsid w:val="00964CC8"/>
    <w:rsid w:val="0098465E"/>
    <w:rsid w:val="009B153A"/>
    <w:rsid w:val="009B1DD5"/>
    <w:rsid w:val="009D7F45"/>
    <w:rsid w:val="009E5B0C"/>
    <w:rsid w:val="00A13666"/>
    <w:rsid w:val="00A1398E"/>
    <w:rsid w:val="00A14380"/>
    <w:rsid w:val="00A34E15"/>
    <w:rsid w:val="00A41E15"/>
    <w:rsid w:val="00A42AEB"/>
    <w:rsid w:val="00A514F5"/>
    <w:rsid w:val="00A60C73"/>
    <w:rsid w:val="00A634DE"/>
    <w:rsid w:val="00A66836"/>
    <w:rsid w:val="00A77867"/>
    <w:rsid w:val="00A84F1F"/>
    <w:rsid w:val="00A93EC5"/>
    <w:rsid w:val="00AA6F85"/>
    <w:rsid w:val="00AB701B"/>
    <w:rsid w:val="00AE6A96"/>
    <w:rsid w:val="00AF5449"/>
    <w:rsid w:val="00AF7DC6"/>
    <w:rsid w:val="00B31A53"/>
    <w:rsid w:val="00B35688"/>
    <w:rsid w:val="00B377D9"/>
    <w:rsid w:val="00B41609"/>
    <w:rsid w:val="00B50204"/>
    <w:rsid w:val="00B70321"/>
    <w:rsid w:val="00B9087A"/>
    <w:rsid w:val="00BB2288"/>
    <w:rsid w:val="00BB67D5"/>
    <w:rsid w:val="00BC3C4B"/>
    <w:rsid w:val="00BD6612"/>
    <w:rsid w:val="00BE473F"/>
    <w:rsid w:val="00BF47FD"/>
    <w:rsid w:val="00C2646D"/>
    <w:rsid w:val="00C3445E"/>
    <w:rsid w:val="00C5581B"/>
    <w:rsid w:val="00C5794A"/>
    <w:rsid w:val="00C62C4D"/>
    <w:rsid w:val="00C7140A"/>
    <w:rsid w:val="00C81E30"/>
    <w:rsid w:val="00CB29D6"/>
    <w:rsid w:val="00CD6103"/>
    <w:rsid w:val="00CD7BF6"/>
    <w:rsid w:val="00CF359E"/>
    <w:rsid w:val="00CF4506"/>
    <w:rsid w:val="00CF552F"/>
    <w:rsid w:val="00D00097"/>
    <w:rsid w:val="00D056FC"/>
    <w:rsid w:val="00D2028C"/>
    <w:rsid w:val="00D42AA9"/>
    <w:rsid w:val="00D540A4"/>
    <w:rsid w:val="00D57502"/>
    <w:rsid w:val="00D66FE0"/>
    <w:rsid w:val="00DB14A3"/>
    <w:rsid w:val="00DB74A1"/>
    <w:rsid w:val="00DD0D0A"/>
    <w:rsid w:val="00DE14DC"/>
    <w:rsid w:val="00DE6299"/>
    <w:rsid w:val="00E10538"/>
    <w:rsid w:val="00E1092C"/>
    <w:rsid w:val="00E111EB"/>
    <w:rsid w:val="00E17734"/>
    <w:rsid w:val="00E43D60"/>
    <w:rsid w:val="00E55172"/>
    <w:rsid w:val="00E566A4"/>
    <w:rsid w:val="00E61AFC"/>
    <w:rsid w:val="00E75244"/>
    <w:rsid w:val="00E96A39"/>
    <w:rsid w:val="00ED625F"/>
    <w:rsid w:val="00EE46FC"/>
    <w:rsid w:val="00EF049F"/>
    <w:rsid w:val="00EF15C2"/>
    <w:rsid w:val="00F0164C"/>
    <w:rsid w:val="00F25AC9"/>
    <w:rsid w:val="00F26EF4"/>
    <w:rsid w:val="00F53AEC"/>
    <w:rsid w:val="00F54617"/>
    <w:rsid w:val="00F70F1B"/>
    <w:rsid w:val="00F71A53"/>
    <w:rsid w:val="00F771BF"/>
    <w:rsid w:val="00FA2900"/>
    <w:rsid w:val="00FC637A"/>
    <w:rsid w:val="00FD025E"/>
    <w:rsid w:val="00FE0D52"/>
    <w:rsid w:val="00FE2801"/>
    <w:rsid w:val="00FE7FDA"/>
    <w:rsid w:val="00FF7619"/>
    <w:rsid w:val="012034F4"/>
    <w:rsid w:val="02B8126A"/>
    <w:rsid w:val="1CD06430"/>
    <w:rsid w:val="20741B77"/>
    <w:rsid w:val="23BE2060"/>
    <w:rsid w:val="27A0348F"/>
    <w:rsid w:val="352A5416"/>
    <w:rsid w:val="35D51A25"/>
    <w:rsid w:val="4A330243"/>
    <w:rsid w:val="51C67DA9"/>
    <w:rsid w:val="59140133"/>
    <w:rsid w:val="5EEA4A69"/>
    <w:rsid w:val="6DF53C7D"/>
    <w:rsid w:val="70063C83"/>
    <w:rsid w:val="72A54A19"/>
    <w:rsid w:val="DEFF8CE6"/>
    <w:rsid w:val="FDDD9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120" w:beforeLines="50" w:after="120" w:afterLines="50"/>
      <w:outlineLvl w:val="1"/>
    </w:pPr>
    <w:rPr>
      <w:rFonts w:ascii="微软雅黑" w:hAnsi="微软雅黑" w:eastAsia="微软雅黑" w:cstheme="majorBidi"/>
      <w:b/>
      <w:bCs/>
      <w:sz w:val="30"/>
      <w:szCs w:val="30"/>
      <w:lang w:bidi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Body Text"/>
    <w:basedOn w:val="1"/>
    <w:link w:val="16"/>
    <w:qFormat/>
    <w:uiPriority w:val="1"/>
    <w:pPr>
      <w:autoSpaceDE w:val="0"/>
      <w:autoSpaceDN w:val="0"/>
      <w:spacing w:before="19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6">
    <w:name w:val="Date"/>
    <w:basedOn w:val="1"/>
    <w:next w:val="1"/>
    <w:link w:val="19"/>
    <w:semiHidden/>
    <w:unhideWhenUsed/>
    <w:uiPriority w:val="99"/>
    <w:pPr>
      <w:ind w:left="100" w:leftChars="2500"/>
    </w:pPr>
  </w:style>
  <w:style w:type="paragraph" w:styleId="7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黑体"/>
      <w:sz w:val="18"/>
      <w:szCs w:val="18"/>
    </w:rPr>
  </w:style>
  <w:style w:type="paragraph" w:styleId="9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黑体"/>
      <w:sz w:val="18"/>
      <w:szCs w:val="18"/>
    </w:rPr>
  </w:style>
  <w:style w:type="character" w:styleId="12">
    <w:name w:val="page number"/>
    <w:basedOn w:val="11"/>
    <w:semiHidden/>
    <w:unhideWhenUsed/>
    <w:qFormat/>
    <w:uiPriority w:val="99"/>
  </w:style>
  <w:style w:type="character" w:customStyle="1" w:styleId="13">
    <w:name w:val="页脚 字符"/>
    <w:basedOn w:val="11"/>
    <w:link w:val="8"/>
    <w:qFormat/>
    <w:uiPriority w:val="99"/>
    <w:rPr>
      <w:rFonts w:ascii="Times New Roman" w:hAnsi="Times New Roman" w:eastAsia="宋体" w:cs="黑体"/>
      <w:sz w:val="18"/>
      <w:szCs w:val="18"/>
    </w:rPr>
  </w:style>
  <w:style w:type="character" w:customStyle="1" w:styleId="14">
    <w:name w:val="页眉 字符"/>
    <w:basedOn w:val="11"/>
    <w:link w:val="9"/>
    <w:qFormat/>
    <w:uiPriority w:val="99"/>
    <w:rPr>
      <w:rFonts w:ascii="Times New Roman" w:hAnsi="Times New Roman" w:eastAsia="宋体" w:cs="黑体"/>
      <w:sz w:val="18"/>
      <w:szCs w:val="18"/>
    </w:rPr>
  </w:style>
  <w:style w:type="table" w:customStyle="1" w:styleId="15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正文文本 字符"/>
    <w:basedOn w:val="11"/>
    <w:link w:val="5"/>
    <w:qFormat/>
    <w:uiPriority w:val="1"/>
    <w:rPr>
      <w:rFonts w:ascii="宋体" w:hAnsi="宋体" w:eastAsia="宋体" w:cs="宋体"/>
      <w:kern w:val="0"/>
      <w:sz w:val="32"/>
      <w:szCs w:val="32"/>
    </w:rPr>
  </w:style>
  <w:style w:type="paragraph" w:customStyle="1" w:styleId="17">
    <w:name w:val="Table Paragraph"/>
    <w:basedOn w:val="1"/>
    <w:qFormat/>
    <w:uiPriority w:val="1"/>
    <w:pPr>
      <w:autoSpaceDE w:val="0"/>
      <w:autoSpaceDN w:val="0"/>
      <w:spacing w:before="53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18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9">
    <w:name w:val="日期 字符"/>
    <w:basedOn w:val="11"/>
    <w:link w:val="6"/>
    <w:autoRedefine/>
    <w:semiHidden/>
    <w:qFormat/>
    <w:uiPriority w:val="99"/>
    <w:rPr>
      <w:kern w:val="2"/>
      <w:sz w:val="21"/>
      <w:szCs w:val="22"/>
    </w:rPr>
  </w:style>
  <w:style w:type="character" w:customStyle="1" w:styleId="20">
    <w:name w:val="批注框文本 字符"/>
    <w:basedOn w:val="11"/>
    <w:link w:val="7"/>
    <w:semiHidden/>
    <w:qFormat/>
    <w:uiPriority w:val="99"/>
    <w:rPr>
      <w:kern w:val="2"/>
      <w:sz w:val="18"/>
      <w:szCs w:val="18"/>
    </w:rPr>
  </w:style>
  <w:style w:type="character" w:customStyle="1" w:styleId="21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2">
    <w:name w:val="标题 2 字符"/>
    <w:basedOn w:val="11"/>
    <w:link w:val="3"/>
    <w:qFormat/>
    <w:uiPriority w:val="9"/>
    <w:rPr>
      <w:rFonts w:ascii="微软雅黑" w:hAnsi="微软雅黑" w:eastAsia="微软雅黑" w:cstheme="majorBidi"/>
      <w:b/>
      <w:bCs/>
      <w:kern w:val="2"/>
      <w:sz w:val="30"/>
      <w:szCs w:val="30"/>
      <w:lang w:bidi="en-US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header" Target="header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1571</Words>
  <Characters>1574</Characters>
  <Lines>12</Lines>
  <Paragraphs>3</Paragraphs>
  <TotalTime>315</TotalTime>
  <ScaleCrop>false</ScaleCrop>
  <LinksUpToDate>false</LinksUpToDate>
  <CharactersWithSpaces>1574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2023-12-29T07:06:00Z</dcterms:created>
  <dc:creator>DELL</dc:creator>
  <cp:lastModifiedBy>笑笑妈</cp:lastModifiedBy>
  <cp:lastPrinted>2024-01-12T08:10:00Z</cp:lastPrinted>
  <dcterms:modified xsi:type="dcterms:W3CDTF">2026-06-04T09:41:32Z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C016DD1D698E41E0BF11EE4DD1BA0636_13</vt:lpwstr>
  </property>
  <property fmtid="{D5CDD505-2E9C-101B-9397-08002B2CF9AE}" pid="4" name="KSOTemplateDocerSaveRecord">
    <vt:lpwstr>eyJoZGlkIjoiODJiZTljYjdjYzg1MmRkYTUxMmJlZDFjNjEyNjRkYjYiLCJ1c2VySWQiOiI0MzU2NjgwNTYifQ==</vt:lpwstr>
  </property>
</Properties>
</file>