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AC2BE">
      <w:pPr>
        <w:widowControl/>
        <w:numPr>
          <w:numId w:val="0"/>
        </w:numPr>
        <w:autoSpaceDE/>
        <w:autoSpaceDN/>
        <w:spacing w:before="120" w:beforeLines="50" w:after="120" w:afterLines="50"/>
        <w:rPr>
          <w:rFonts w:hint="eastAsia" w:ascii="黑体" w:eastAsia="黑体" w:cs="黑体"/>
          <w:sz w:val="28"/>
          <w:szCs w:val="28"/>
          <w:lang w:val="en-US" w:eastAsia="zh-CN"/>
        </w:rPr>
      </w:pPr>
      <w:r>
        <w:rPr>
          <w:rFonts w:hint="eastAsia" w:ascii="黑体" w:eastAsia="黑体" w:cs="黑体"/>
          <w:sz w:val="28"/>
          <w:szCs w:val="28"/>
          <w:lang w:val="en-US" w:eastAsia="zh-CN"/>
        </w:rPr>
        <w:t>附件1</w:t>
      </w:r>
    </w:p>
    <w:p w14:paraId="4876706D">
      <w:pPr>
        <w:widowControl/>
        <w:numPr>
          <w:numId w:val="0"/>
        </w:numPr>
        <w:autoSpaceDE/>
        <w:autoSpaceDN/>
        <w:spacing w:before="120" w:beforeLines="50" w:after="120" w:afterLines="50"/>
        <w:rPr>
          <w:rFonts w:ascii="黑体" w:eastAsia="黑体" w:cs="黑体"/>
          <w:sz w:val="28"/>
          <w:szCs w:val="28"/>
          <w:lang w:val="en-US"/>
        </w:rPr>
      </w:pPr>
      <w:r>
        <w:rPr>
          <w:rFonts w:hint="eastAsia" w:ascii="黑体" w:eastAsia="黑体" w:cs="黑体"/>
          <w:sz w:val="28"/>
          <w:szCs w:val="28"/>
          <w:lang w:val="en-US" w:eastAsia="zh-CN"/>
        </w:rPr>
        <w:t>一、</w:t>
      </w:r>
      <w:r>
        <w:rPr>
          <w:rFonts w:hint="eastAsia" w:ascii="黑体" w:eastAsia="黑体" w:cs="黑体"/>
          <w:sz w:val="28"/>
          <w:szCs w:val="28"/>
          <w:lang w:val="en-US"/>
        </w:rPr>
        <w:t>课程</w:t>
      </w:r>
      <w:r>
        <w:rPr>
          <w:rFonts w:hint="eastAsia" w:ascii="黑体" w:eastAsia="黑体" w:cs="黑体"/>
          <w:sz w:val="28"/>
          <w:szCs w:val="28"/>
          <w:lang w:val="en-US" w:eastAsia="zh-CN"/>
        </w:rPr>
        <w:t>安排</w:t>
      </w:r>
      <w:r>
        <w:rPr>
          <w:rFonts w:hint="eastAsia" w:ascii="黑体" w:eastAsia="黑体" w:cs="黑体"/>
          <w:sz w:val="28"/>
          <w:szCs w:val="28"/>
          <w:lang w:val="en-US"/>
        </w:rPr>
        <w:t>（含主题、摘要与专家）</w:t>
      </w:r>
    </w:p>
    <w:tbl>
      <w:tblPr>
        <w:tblStyle w:val="3"/>
        <w:tblW w:w="938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993"/>
        <w:gridCol w:w="3475"/>
        <w:gridCol w:w="2693"/>
        <w:gridCol w:w="1660"/>
      </w:tblGrid>
      <w:tr w14:paraId="188B99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2" w:type="dxa"/>
            <w:gridSpan w:val="2"/>
            <w:shd w:val="clear" w:color="auto" w:fill="F1F1F1" w:themeFill="background1" w:themeFillShade="F2"/>
            <w:vAlign w:val="center"/>
          </w:tcPr>
          <w:p w14:paraId="3E851DCF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时间</w:t>
            </w:r>
          </w:p>
        </w:tc>
        <w:tc>
          <w:tcPr>
            <w:tcW w:w="3475" w:type="dxa"/>
            <w:shd w:val="clear" w:color="auto" w:fill="F1F1F1" w:themeFill="background1" w:themeFillShade="F2"/>
            <w:vAlign w:val="center"/>
          </w:tcPr>
          <w:p w14:paraId="07A962ED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仿宋_GB2312"/>
                <w:b/>
                <w:bCs/>
                <w:sz w:val="24"/>
                <w:szCs w:val="24"/>
                <w:lang w:val="en-US"/>
              </w:rPr>
              <w:t>主题和摘要</w:t>
            </w:r>
          </w:p>
        </w:tc>
        <w:tc>
          <w:tcPr>
            <w:tcW w:w="2693" w:type="dxa"/>
            <w:shd w:val="clear" w:color="auto" w:fill="F1F1F1" w:themeFill="background1" w:themeFillShade="F2"/>
            <w:vAlign w:val="center"/>
          </w:tcPr>
          <w:p w14:paraId="5C0C9009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</w:t>
            </w:r>
          </w:p>
        </w:tc>
        <w:tc>
          <w:tcPr>
            <w:tcW w:w="1660" w:type="dxa"/>
            <w:shd w:val="clear" w:color="auto" w:fill="F1F1F1" w:themeFill="background1" w:themeFillShade="F2"/>
            <w:vAlign w:val="center"/>
          </w:tcPr>
          <w:p w14:paraId="004BEDCA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主讲嘉宾</w:t>
            </w:r>
          </w:p>
        </w:tc>
      </w:tr>
      <w:tr w14:paraId="47B6F4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2" w:hRule="atLeast"/>
          <w:jc w:val="center"/>
        </w:trPr>
        <w:tc>
          <w:tcPr>
            <w:tcW w:w="559" w:type="dxa"/>
            <w:vAlign w:val="center"/>
          </w:tcPr>
          <w:p w14:paraId="6A970A28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月</w:t>
            </w:r>
          </w:p>
          <w:p w14:paraId="6AF4C33F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2380375E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</w:p>
          <w:p w14:paraId="4E3369B7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19:00</w:t>
            </w:r>
          </w:p>
          <w:p w14:paraId="57E543A7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2ABB41C8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21:00</w:t>
            </w:r>
          </w:p>
        </w:tc>
        <w:tc>
          <w:tcPr>
            <w:tcW w:w="3475" w:type="dxa"/>
            <w:vAlign w:val="center"/>
          </w:tcPr>
          <w:p w14:paraId="51DC9437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bookmarkStart w:id="0" w:name="OLE_LINK11"/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立德树人守初心——新时代高校教师教育家精神与师德规范</w:t>
            </w:r>
          </w:p>
          <w:bookmarkEnd w:id="0"/>
          <w:p w14:paraId="53B9DD93">
            <w:pPr>
              <w:widowControl/>
              <w:jc w:val="both"/>
              <w:rPr>
                <w:rFonts w:cs="仿宋_GB2312"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Cs/>
                <w:sz w:val="24"/>
                <w:szCs w:val="24"/>
                <w:lang w:val="en-US"/>
              </w:rPr>
              <w:t>1.总纲与引领：立德树人根本任务与弘扬教育家精神的时代内涵</w:t>
            </w:r>
          </w:p>
          <w:p w14:paraId="7DA2CB4D">
            <w:pPr>
              <w:widowControl/>
              <w:jc w:val="both"/>
              <w:rPr>
                <w:rFonts w:cs="仿宋_GB2312"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Cs/>
                <w:sz w:val="24"/>
                <w:szCs w:val="24"/>
                <w:lang w:val="en-US"/>
              </w:rPr>
              <w:t>2.核心剖析：教育家精神六大核心维度的丰富意蕴与实践要求</w:t>
            </w:r>
          </w:p>
          <w:p w14:paraId="764B2AD0">
            <w:pPr>
              <w:widowControl/>
              <w:jc w:val="both"/>
              <w:rPr>
                <w:rFonts w:cs="仿宋_GB2312"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Cs/>
                <w:sz w:val="24"/>
                <w:szCs w:val="24"/>
                <w:lang w:val="en-US"/>
              </w:rPr>
              <w:t>3.现实路径：以教育家精神为航标的新时代高校教师师德师风践行之道</w:t>
            </w:r>
          </w:p>
          <w:p w14:paraId="170EADAF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Cs/>
                <w:sz w:val="24"/>
                <w:szCs w:val="24"/>
                <w:lang w:val="en-US"/>
              </w:rPr>
              <w:t>4.展望与创新：数智时代高校师德师风建设与教育家精神践行机遇和挑战</w:t>
            </w:r>
          </w:p>
        </w:tc>
        <w:tc>
          <w:tcPr>
            <w:tcW w:w="2693" w:type="dxa"/>
            <w:vAlign w:val="center"/>
          </w:tcPr>
          <w:p w14:paraId="77939A49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5C3333DE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1深入领悟新时代“立德树人”的根本任务与教育家精神的时代内涵</w:t>
            </w:r>
          </w:p>
          <w:p w14:paraId="76745402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2.系统掌握教育家精神六大维度的核心要义与师德规范具体要求</w:t>
            </w:r>
          </w:p>
          <w:p w14:paraId="4EB3E44F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3.明晰以教育家精神为指引改进自身师德师风的具体实践路径</w:t>
            </w:r>
          </w:p>
          <w:p w14:paraId="7588B8FB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4.认清数智时代高校师德师风建设面临的新挑战与创新应对策略</w:t>
            </w:r>
          </w:p>
        </w:tc>
        <w:tc>
          <w:tcPr>
            <w:tcW w:w="1660" w:type="dxa"/>
            <w:vAlign w:val="center"/>
          </w:tcPr>
          <w:p w14:paraId="0A9D6D8C">
            <w:pPr>
              <w:widowControl/>
              <w:jc w:val="left"/>
              <w:rPr>
                <w:rFonts w:cs="仿宋_GB2312"/>
                <w:b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sz w:val="24"/>
                <w:szCs w:val="24"/>
                <w:lang w:val="en-US"/>
              </w:rPr>
              <w:t>李鸿飞</w:t>
            </w:r>
          </w:p>
          <w:p w14:paraId="4EAC3CE3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国家级教学成果奖特等奖负责人。华中师范大学研究员，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>湖北省“彩虹学者”，教育部教学信息化与教学方法创新教学指导委员会委员。</w:t>
            </w:r>
          </w:p>
        </w:tc>
      </w:tr>
      <w:tr w14:paraId="509359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5" w:hRule="atLeast"/>
          <w:jc w:val="center"/>
        </w:trPr>
        <w:tc>
          <w:tcPr>
            <w:tcW w:w="559" w:type="dxa"/>
            <w:vAlign w:val="center"/>
          </w:tcPr>
          <w:p w14:paraId="688629C9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月</w:t>
            </w:r>
          </w:p>
          <w:p w14:paraId="1BFCB8B3">
            <w:pPr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462AF7E6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</w:p>
          <w:p w14:paraId="0EB9CE12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19:00</w:t>
            </w:r>
          </w:p>
          <w:p w14:paraId="65A5FDE5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5B7AD4A8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21:00</w:t>
            </w:r>
          </w:p>
        </w:tc>
        <w:tc>
          <w:tcPr>
            <w:tcW w:w="3475" w:type="dxa"/>
            <w:vAlign w:val="center"/>
          </w:tcPr>
          <w:p w14:paraId="48161DB3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bookmarkStart w:id="1" w:name="OLE_LINK13"/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精备善教出好课——高校教学设计撰写与备课技巧</w:t>
            </w:r>
          </w:p>
          <w:bookmarkEnd w:id="1"/>
          <w:p w14:paraId="3C2D9781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bookmarkStart w:id="2" w:name="OLE_LINK14"/>
            <w:r>
              <w:rPr>
                <w:rFonts w:cs="仿宋_GB2312"/>
                <w:sz w:val="24"/>
                <w:szCs w:val="24"/>
                <w:lang w:val="en-US"/>
              </w:rPr>
              <w:t>1.“学为中心”的课堂教学模式设计</w:t>
            </w:r>
          </w:p>
          <w:p w14:paraId="0088DF75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2.“学为中心”课堂教学模式的实施策略，包括学生主体地位的确立与激发、教师角色转变与引导技巧、个性化教学策略的应用、课堂互动与反馈机制的建立等</w:t>
            </w:r>
          </w:p>
          <w:p w14:paraId="1C72F77D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3.“学为中心”的课堂教学模式案例分析与效果评估</w:t>
            </w:r>
            <w:bookmarkEnd w:id="2"/>
          </w:p>
        </w:tc>
        <w:tc>
          <w:tcPr>
            <w:tcW w:w="2693" w:type="dxa"/>
            <w:vAlign w:val="center"/>
          </w:tcPr>
          <w:p w14:paraId="5D6EF9B9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780D2AF3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1.掌握“学为中心”课堂教学模式的核心要素</w:t>
            </w:r>
          </w:p>
          <w:p w14:paraId="5CF7E4F3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2.学会学生主体地位确立、师生角色转变及课堂互动反馈机制的实操策略</w:t>
            </w:r>
          </w:p>
          <w:p w14:paraId="2663385E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3.掌握解决教学重难点的目标设计与学情分析技巧</w:t>
            </w:r>
          </w:p>
          <w:p w14:paraId="415B77E2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4.厘清教案与教学设计的精细化区别</w:t>
            </w:r>
          </w:p>
        </w:tc>
        <w:tc>
          <w:tcPr>
            <w:tcW w:w="1660" w:type="dxa"/>
            <w:vAlign w:val="center"/>
          </w:tcPr>
          <w:p w14:paraId="14D2AF29">
            <w:pPr>
              <w:widowControl/>
              <w:jc w:val="left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刘学莘</w:t>
            </w:r>
          </w:p>
          <w:p w14:paraId="1F2E08BC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福建农林大学教授，全国高校教师教学创新大赛一等奖获得者，主持3门国家级一流本科课程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 xml:space="preserve">。 </w:t>
            </w:r>
          </w:p>
        </w:tc>
      </w:tr>
      <w:tr w14:paraId="3B18BD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59" w:type="dxa"/>
            <w:vAlign w:val="center"/>
          </w:tcPr>
          <w:p w14:paraId="099CCE41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月</w:t>
            </w:r>
          </w:p>
          <w:p w14:paraId="38E0169E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26</w:t>
            </w:r>
          </w:p>
          <w:p w14:paraId="4CDB14A0">
            <w:pPr>
              <w:widowControl/>
              <w:jc w:val="center"/>
              <w:rPr>
                <w:rFonts w:hint="eastAsia" w:cs="仿宋_GB2312"/>
                <w:b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770C0BED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9:00</w:t>
            </w:r>
          </w:p>
          <w:p w14:paraId="2CCF6C62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595C3FC5">
            <w:pPr>
              <w:widowControl/>
              <w:jc w:val="center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11:</w:t>
            </w:r>
            <w:r>
              <w:rPr>
                <w:rFonts w:hint="eastAsia" w:cs="仿宋_GB231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>0</w:t>
            </w:r>
          </w:p>
        </w:tc>
        <w:tc>
          <w:tcPr>
            <w:tcW w:w="3475" w:type="dxa"/>
            <w:vAlign w:val="center"/>
          </w:tcPr>
          <w:p w14:paraId="6B1D4627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多元教法融课堂——高校主流创新教学方法落地应用与学科适配技巧</w:t>
            </w:r>
          </w:p>
          <w:p w14:paraId="439AE5A5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1.聚焦主流创新教学方法落地应用与学科适配技巧</w:t>
            </w:r>
          </w:p>
          <w:p w14:paraId="70F6E822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2.拆解创新教学的实践路径与避坑策略</w:t>
            </w:r>
          </w:p>
          <w:p w14:paraId="5A6E7D7D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3.剖析当前翻转课堂、项目式学习（</w:t>
            </w:r>
            <w:r>
              <w:rPr>
                <w:rFonts w:cs="仿宋_GB2312"/>
                <w:sz w:val="24"/>
                <w:szCs w:val="24"/>
                <w:lang w:val="en-US"/>
              </w:rPr>
              <w:t>PBL）、混合式教学等方法落地难、效果差的根源</w:t>
            </w:r>
          </w:p>
          <w:p w14:paraId="653CE929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4.梳理翻转课堂、混合式教学、</w:t>
            </w:r>
            <w:r>
              <w:rPr>
                <w:rFonts w:cs="仿宋_GB2312"/>
                <w:sz w:val="24"/>
                <w:szCs w:val="24"/>
                <w:lang w:val="en-US"/>
              </w:rPr>
              <w:t>PBL、案例教学、探究式教学、情境式教学 6 大主流创新教学方法的核心逻辑、优势与通用场景。</w:t>
            </w:r>
          </w:p>
          <w:p w14:paraId="08E95FCF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5.分享创新教学落地的关键路径、</w:t>
            </w:r>
            <w:r>
              <w:rPr>
                <w:rFonts w:cs="仿宋_GB2312"/>
                <w:sz w:val="24"/>
                <w:szCs w:val="24"/>
                <w:lang w:val="en-US"/>
              </w:rPr>
              <w:t>6 大通用避坑要点及效果保障措施</w:t>
            </w:r>
          </w:p>
        </w:tc>
        <w:tc>
          <w:tcPr>
            <w:tcW w:w="2693" w:type="dxa"/>
            <w:vAlign w:val="center"/>
          </w:tcPr>
          <w:p w14:paraId="0C8B154C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2E557BD5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1.系统掌握翻转课堂、</w:t>
            </w:r>
            <w:r>
              <w:rPr>
                <w:rFonts w:cs="仿宋_GB2312"/>
                <w:sz w:val="24"/>
                <w:szCs w:val="24"/>
                <w:lang w:val="en-US"/>
              </w:rPr>
              <w:t>PBL等6大主流创新教学法的核心逻辑与学科适配选择策略</w:t>
            </w:r>
          </w:p>
          <w:p w14:paraId="37D24F90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2.厘清创新教学方法“落地难、效果差”的深层根源，获得了</w:t>
            </w:r>
            <w:r>
              <w:rPr>
                <w:rFonts w:cs="仿宋_GB2312"/>
                <w:sz w:val="24"/>
                <w:szCs w:val="24"/>
                <w:lang w:val="en-US"/>
              </w:rPr>
              <w:t>6大通用避坑要点</w:t>
            </w:r>
          </w:p>
          <w:p w14:paraId="6F7C52EF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3.学会创新教学落地的关键路径设计与效果保障措施，规避常见实践误区</w:t>
            </w:r>
          </w:p>
          <w:p w14:paraId="22935100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4.掌握根据学科特点灵活适配多元教法的技巧，提升了课堂教学实效性</w:t>
            </w:r>
          </w:p>
        </w:tc>
        <w:tc>
          <w:tcPr>
            <w:tcW w:w="1660" w:type="dxa"/>
            <w:vAlign w:val="center"/>
          </w:tcPr>
          <w:p w14:paraId="4084703F">
            <w:pPr>
              <w:widowControl/>
              <w:jc w:val="both"/>
              <w:rPr>
                <w:rFonts w:cs="仿宋_GB2312"/>
                <w:b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sz w:val="24"/>
                <w:szCs w:val="24"/>
                <w:lang w:val="en-US"/>
              </w:rPr>
              <w:t>王森</w:t>
            </w:r>
          </w:p>
          <w:p w14:paraId="29D073D6">
            <w:pPr>
              <w:widowControl/>
              <w:jc w:val="left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浙江理工大学信息技术中心副主任，中国高等教育学会培训中心专职讲师，学校教师教学发展培训师。</w:t>
            </w:r>
          </w:p>
        </w:tc>
      </w:tr>
      <w:tr w14:paraId="10FB2D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2" w:hRule="atLeast"/>
          <w:jc w:val="center"/>
        </w:trPr>
        <w:tc>
          <w:tcPr>
            <w:tcW w:w="559" w:type="dxa"/>
            <w:vAlign w:val="center"/>
          </w:tcPr>
          <w:p w14:paraId="01AEF616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月</w:t>
            </w:r>
          </w:p>
          <w:p w14:paraId="4F868945">
            <w:pPr>
              <w:widowControl/>
              <w:jc w:val="center"/>
              <w:rPr>
                <w:rFonts w:hint="eastAsia" w:cs="仿宋_GB2312"/>
                <w:b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2E21C83A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9:00</w:t>
            </w:r>
          </w:p>
          <w:p w14:paraId="5A6B609B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3FFEB02B">
            <w:pPr>
              <w:widowControl/>
              <w:jc w:val="center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>1:00</w:t>
            </w:r>
          </w:p>
        </w:tc>
        <w:tc>
          <w:tcPr>
            <w:tcW w:w="3475" w:type="dxa"/>
            <w:vAlign w:val="center"/>
          </w:tcPr>
          <w:p w14:paraId="167328DC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融思于教润课堂——高校全学科课程思政精准融入设计与落地实操</w:t>
            </w:r>
          </w:p>
          <w:p w14:paraId="0C9F9D1F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1.课程思政精准定位与元素挖掘：从专业内核中发现自然融入的思政触点</w:t>
            </w:r>
          </w:p>
          <w:p w14:paraId="3894B672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2.“感知-见证-守护-担当”四阶递进育人范式构建与实施路径</w:t>
            </w:r>
          </w:p>
          <w:p w14:paraId="72955725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3.课程思政与数智技术深度融合：</w:t>
            </w:r>
            <w:r>
              <w:rPr>
                <w:rFonts w:cs="仿宋_GB2312"/>
                <w:sz w:val="24"/>
                <w:szCs w:val="24"/>
                <w:lang w:val="en-US"/>
              </w:rPr>
              <w:t>AI图谱、智慧教具与可视化教学应用</w:t>
            </w:r>
          </w:p>
          <w:p w14:paraId="457CC0BE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4.高质量课堂设计的“知识</w:t>
            </w:r>
            <w:r>
              <w:rPr>
                <w:rFonts w:cs="仿宋_GB2312"/>
                <w:sz w:val="24"/>
                <w:szCs w:val="24"/>
                <w:lang w:val="en-US"/>
              </w:rPr>
              <w:t>+能力+人文”三要素融合策略及落地实操</w:t>
            </w:r>
          </w:p>
        </w:tc>
        <w:tc>
          <w:tcPr>
            <w:tcW w:w="2693" w:type="dxa"/>
            <w:vAlign w:val="center"/>
          </w:tcPr>
          <w:p w14:paraId="7CA2FDB8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18CD42AC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1.掌握四阶递进育人范式的构建与实施方法</w:t>
            </w:r>
          </w:p>
          <w:p w14:paraId="11EF0C78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2.学会将思政元素自然融入课程内容，实现价值塑造与知识传授的有机统一</w:t>
            </w:r>
          </w:p>
          <w:p w14:paraId="0E3E6003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3.掌握</w:t>
            </w:r>
            <w:r>
              <w:rPr>
                <w:rFonts w:cs="仿宋_GB2312"/>
                <w:sz w:val="24"/>
                <w:szCs w:val="24"/>
                <w:lang w:val="en-US"/>
              </w:rPr>
              <w:t>AI智慧图谱、专利教具等数智技术与课程思政深度融合的创新策略</w:t>
            </w:r>
          </w:p>
          <w:p w14:paraId="2560C7A0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4.获得“知识</w:t>
            </w:r>
            <w:r>
              <w:rPr>
                <w:rFonts w:cs="仿宋_GB2312"/>
                <w:sz w:val="24"/>
                <w:szCs w:val="24"/>
                <w:lang w:val="en-US"/>
              </w:rPr>
              <w:t>+能力+人文”三要素融合的高质量课堂设计理念与实操经验</w:t>
            </w:r>
          </w:p>
        </w:tc>
        <w:tc>
          <w:tcPr>
            <w:tcW w:w="1660" w:type="dxa"/>
            <w:vAlign w:val="center"/>
          </w:tcPr>
          <w:p w14:paraId="093681D5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赵一馨</w:t>
            </w:r>
          </w:p>
          <w:p w14:paraId="13E8FAA4">
            <w:pPr>
              <w:widowControl/>
              <w:jc w:val="left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北京大学人民医院副主任医师，教育处副处长。第六届全国高校青年教师教学竞赛医科组一等奖。</w:t>
            </w:r>
          </w:p>
        </w:tc>
      </w:tr>
      <w:tr w14:paraId="1B9823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2" w:hRule="atLeast"/>
          <w:jc w:val="center"/>
        </w:trPr>
        <w:tc>
          <w:tcPr>
            <w:tcW w:w="559" w:type="dxa"/>
            <w:vAlign w:val="center"/>
          </w:tcPr>
          <w:p w14:paraId="1F91B47E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月</w:t>
            </w:r>
          </w:p>
          <w:p w14:paraId="5A7A2211">
            <w:pPr>
              <w:widowControl/>
              <w:jc w:val="center"/>
              <w:rPr>
                <w:rFonts w:hint="eastAsia" w:cs="仿宋_GB2312"/>
                <w:b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660C75EC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</w:t>
            </w:r>
            <w:r>
              <w:rPr>
                <w:rFonts w:hint="eastAsia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>:00</w:t>
            </w:r>
          </w:p>
          <w:p w14:paraId="47F05F72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53330804">
            <w:pPr>
              <w:widowControl/>
              <w:jc w:val="center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>:00</w:t>
            </w:r>
          </w:p>
        </w:tc>
        <w:tc>
          <w:tcPr>
            <w:tcW w:w="3475" w:type="dxa"/>
            <w:vAlign w:val="center"/>
          </w:tcPr>
          <w:p w14:paraId="1AC6EC36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仿宋_GB2312"/>
                <w:b/>
                <w:bCs/>
                <w:sz w:val="24"/>
                <w:szCs w:val="24"/>
                <w:lang w:val="en-US"/>
              </w:rPr>
              <w:t>AI辅助的教学研究设计与论文撰写</w:t>
            </w:r>
          </w:p>
          <w:p w14:paraId="0F271F83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通过发挥</w:t>
            </w:r>
            <w:r>
              <w:rPr>
                <w:rFonts w:cs="仿宋_GB2312"/>
                <w:sz w:val="24"/>
                <w:szCs w:val="24"/>
                <w:lang w:val="en-US"/>
              </w:rPr>
              <w:t>AI的"智能助教"和"学术伙伴"功能，</w:t>
            </w:r>
            <w:r>
              <w:rPr>
                <w:rFonts w:hint="eastAsia" w:cs="仿宋_GB2312"/>
                <w:sz w:val="24"/>
                <w:szCs w:val="24"/>
                <w:lang w:val="en-US"/>
              </w:rPr>
              <w:t>助力实现七大核心突破：</w:t>
            </w:r>
          </w:p>
          <w:p w14:paraId="68D52FF8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</w:t>
            </w:r>
            <w:r>
              <w:rPr>
                <w:rFonts w:cs="仿宋_GB2312"/>
                <w:sz w:val="24"/>
                <w:szCs w:val="24"/>
                <w:lang w:val="en-US"/>
              </w:rPr>
              <w:t>AI辅助确定课堂教学研究选题的技巧</w:t>
            </w:r>
          </w:p>
          <w:p w14:paraId="73A2A870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</w:t>
            </w:r>
            <w:r>
              <w:rPr>
                <w:rFonts w:cs="仿宋_GB2312"/>
                <w:sz w:val="24"/>
                <w:szCs w:val="24"/>
                <w:lang w:val="en-US"/>
              </w:rPr>
              <w:t>熟练运用AI优化研究题目的表述与规范</w:t>
            </w:r>
          </w:p>
          <w:p w14:paraId="7560B12A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</w:t>
            </w:r>
            <w:r>
              <w:rPr>
                <w:rFonts w:cs="仿宋_GB2312"/>
                <w:sz w:val="24"/>
                <w:szCs w:val="24"/>
                <w:lang w:val="en-US"/>
              </w:rPr>
              <w:t>利用AI高效完成文献检索与文献阅读</w:t>
            </w:r>
          </w:p>
          <w:p w14:paraId="1846D467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</w:t>
            </w:r>
            <w:r>
              <w:rPr>
                <w:rFonts w:cs="仿宋_GB2312"/>
                <w:sz w:val="24"/>
                <w:szCs w:val="24"/>
                <w:lang w:val="en-US"/>
              </w:rPr>
              <w:t>借助AI快速编制基础性研究工具</w:t>
            </w:r>
          </w:p>
          <w:p w14:paraId="512E7210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5.</w:t>
            </w:r>
            <w:r>
              <w:rPr>
                <w:rFonts w:cs="仿宋_GB2312"/>
                <w:sz w:val="24"/>
                <w:szCs w:val="24"/>
                <w:lang w:val="en-US"/>
              </w:rPr>
              <w:t>运用AI辅助设计科学严谨的教学研究方案</w:t>
            </w:r>
          </w:p>
          <w:p w14:paraId="16FCDA4F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6.</w:t>
            </w:r>
            <w:r>
              <w:rPr>
                <w:rFonts w:cs="仿宋_GB2312"/>
                <w:sz w:val="24"/>
                <w:szCs w:val="24"/>
                <w:lang w:val="en-US"/>
              </w:rPr>
              <w:t>通过AI拓展数据收集的不同视角</w:t>
            </w:r>
          </w:p>
          <w:p w14:paraId="7C77CCF5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7.</w:t>
            </w:r>
            <w:r>
              <w:rPr>
                <w:rFonts w:cs="仿宋_GB2312"/>
                <w:sz w:val="24"/>
                <w:szCs w:val="24"/>
                <w:lang w:val="en-US"/>
              </w:rPr>
              <w:t>应用AI进行论文润色与语言提升</w:t>
            </w:r>
          </w:p>
        </w:tc>
        <w:tc>
          <w:tcPr>
            <w:tcW w:w="2693" w:type="dxa"/>
            <w:vAlign w:val="center"/>
          </w:tcPr>
          <w:p w14:paraId="63AB0791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189A46FD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1.系统掌握借助</w:t>
            </w:r>
            <w:r>
              <w:rPr>
                <w:rFonts w:cs="仿宋_GB2312"/>
                <w:sz w:val="24"/>
                <w:szCs w:val="24"/>
                <w:lang w:val="en-US"/>
              </w:rPr>
              <w:t>AI辅助确定研究选题、优化题目表述与规范的核心技巧</w:t>
            </w:r>
          </w:p>
          <w:p w14:paraId="412A6877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2.学会运用</w:t>
            </w:r>
            <w:r>
              <w:rPr>
                <w:rFonts w:cs="仿宋_GB2312"/>
                <w:sz w:val="24"/>
                <w:szCs w:val="24"/>
                <w:lang w:val="en-US"/>
              </w:rPr>
              <w:t>AI高效完成文献检索、文献阅读及基础性研究工具的编制</w:t>
            </w:r>
          </w:p>
          <w:p w14:paraId="60C6759C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3.掌握利用</w:t>
            </w:r>
            <w:r>
              <w:rPr>
                <w:rFonts w:cs="仿宋_GB2312"/>
                <w:sz w:val="24"/>
                <w:szCs w:val="24"/>
                <w:lang w:val="en-US"/>
              </w:rPr>
              <w:t>AI设计科学严谨的教学研究方案、拓展数据收集视角的方法</w:t>
            </w:r>
          </w:p>
          <w:p w14:paraId="588C67FF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4.获得应用</w:t>
            </w:r>
            <w:r>
              <w:rPr>
                <w:rFonts w:cs="仿宋_GB2312"/>
                <w:sz w:val="24"/>
                <w:szCs w:val="24"/>
                <w:lang w:val="en-US"/>
              </w:rPr>
              <w:t>AI进行论文润色与语言提升的实用策略，提升教研论文质量</w:t>
            </w:r>
          </w:p>
        </w:tc>
        <w:tc>
          <w:tcPr>
            <w:tcW w:w="1660" w:type="dxa"/>
            <w:vAlign w:val="center"/>
          </w:tcPr>
          <w:p w14:paraId="0DE30C01">
            <w:pPr>
              <w:widowControl/>
              <w:jc w:val="both"/>
              <w:rPr>
                <w:rFonts w:cs="仿宋_GB2312"/>
                <w:b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sz w:val="24"/>
                <w:szCs w:val="24"/>
                <w:lang w:val="en-US"/>
              </w:rPr>
              <w:t>王力娟</w:t>
            </w:r>
          </w:p>
          <w:p w14:paraId="22B67EE8">
            <w:pPr>
              <w:widowControl/>
              <w:jc w:val="left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上海交通大学专职科研系列副研究员。国家社科基金项目负责人，国家级教学成果奖获得者。</w:t>
            </w:r>
          </w:p>
        </w:tc>
      </w:tr>
      <w:tr w14:paraId="07AD86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2" w:hRule="atLeast"/>
          <w:jc w:val="center"/>
        </w:trPr>
        <w:tc>
          <w:tcPr>
            <w:tcW w:w="559" w:type="dxa"/>
            <w:vAlign w:val="center"/>
          </w:tcPr>
          <w:p w14:paraId="26B79CB1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月</w:t>
            </w:r>
          </w:p>
          <w:p w14:paraId="46514730">
            <w:pPr>
              <w:jc w:val="center"/>
              <w:rPr>
                <w:rFonts w:hint="eastAsia" w:cs="仿宋_GB2312"/>
                <w:b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74633DB6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19:00</w:t>
            </w:r>
          </w:p>
          <w:p w14:paraId="5A39DE6A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09D360CE">
            <w:pPr>
              <w:widowControl/>
              <w:jc w:val="center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21:00</w:t>
            </w:r>
          </w:p>
        </w:tc>
        <w:tc>
          <w:tcPr>
            <w:tcW w:w="3475" w:type="dxa"/>
            <w:vAlign w:val="center"/>
          </w:tcPr>
          <w:p w14:paraId="078E33A0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以生为本育新人——高校学情分析、师生有效沟通与全过程育人实践</w:t>
            </w:r>
          </w:p>
          <w:p w14:paraId="5A2FED94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1.学情分析的理论基础与实操方法：精准把握学生学习起点、需求与痛点</w:t>
            </w:r>
          </w:p>
          <w:p w14:paraId="0AAA98C4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2.师生有效沟通的多元渠道建设：从课堂互动到新媒体平台的立体化交流体系</w:t>
            </w:r>
          </w:p>
          <w:p w14:paraId="3058D052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3.全过程育人的教学设计策略：课前、课中、课后各环节的育人融合路径</w:t>
            </w:r>
          </w:p>
          <w:p w14:paraId="133A6F7F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4.以生为本的实践案例与效果评估：经验分享与育人成效检验方法</w:t>
            </w:r>
          </w:p>
        </w:tc>
        <w:tc>
          <w:tcPr>
            <w:tcW w:w="2693" w:type="dxa"/>
            <w:vAlign w:val="center"/>
          </w:tcPr>
          <w:p w14:paraId="694F4079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21E095B8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1.掌握学情分析的核心方法，能够精准把握学生学习起点与需求痛点</w:t>
            </w:r>
          </w:p>
          <w:p w14:paraId="2BF8DE9E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2.学会借助公众号、</w:t>
            </w:r>
            <w:r>
              <w:rPr>
                <w:rFonts w:cs="仿宋_GB2312"/>
                <w:sz w:val="24"/>
                <w:szCs w:val="24"/>
                <w:lang w:val="en-US"/>
              </w:rPr>
              <w:t>B站等新媒体平台建设师生互动交流立体化渠道</w:t>
            </w:r>
          </w:p>
          <w:p w14:paraId="34D8C96D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3.掌握课前、课中、课后各环节有机融入育人元素的教学设计策略</w:t>
            </w:r>
          </w:p>
          <w:p w14:paraId="73215A41">
            <w:pPr>
              <w:widowControl/>
              <w:jc w:val="both"/>
              <w:rPr>
                <w:rFonts w:hint="eastAsia"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4.获得以鼓励互动、允许试错为导向的课堂氛围营造与育人实效评估经验</w:t>
            </w:r>
          </w:p>
        </w:tc>
        <w:tc>
          <w:tcPr>
            <w:tcW w:w="1660" w:type="dxa"/>
            <w:vAlign w:val="center"/>
          </w:tcPr>
          <w:p w14:paraId="60C9ED04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邓弋威</w:t>
            </w:r>
          </w:p>
          <w:p w14:paraId="5A77D909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浙江工商大学教务处副处长。全国高校青年教师教学竞赛一等奖、全国高校教师教学创新大赛一等奖获得者。</w:t>
            </w:r>
          </w:p>
        </w:tc>
      </w:tr>
      <w:tr w14:paraId="5BE9AE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2" w:hRule="atLeast"/>
          <w:jc w:val="center"/>
        </w:trPr>
        <w:tc>
          <w:tcPr>
            <w:tcW w:w="559" w:type="dxa"/>
            <w:vAlign w:val="center"/>
          </w:tcPr>
          <w:p w14:paraId="462AD295">
            <w:pPr>
              <w:widowControl/>
              <w:jc w:val="center"/>
              <w:rPr>
                <w:rFonts w:cs="仿宋_GB2312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val="en-US"/>
              </w:rPr>
              <w:t>月</w:t>
            </w:r>
          </w:p>
          <w:p w14:paraId="630B9BC6">
            <w:pPr>
              <w:widowControl/>
              <w:jc w:val="center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val="en-US"/>
              </w:rPr>
              <w:t>日</w:t>
            </w:r>
          </w:p>
        </w:tc>
        <w:tc>
          <w:tcPr>
            <w:tcW w:w="993" w:type="dxa"/>
            <w:vAlign w:val="center"/>
          </w:tcPr>
          <w:p w14:paraId="1AD83D47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</w:p>
          <w:p w14:paraId="528864AE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19:00</w:t>
            </w:r>
          </w:p>
          <w:p w14:paraId="34E58680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-</w:t>
            </w:r>
          </w:p>
          <w:p w14:paraId="5D5093D9">
            <w:pPr>
              <w:widowControl/>
              <w:jc w:val="center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21:00</w:t>
            </w:r>
          </w:p>
        </w:tc>
        <w:tc>
          <w:tcPr>
            <w:tcW w:w="3475" w:type="dxa"/>
            <w:vAlign w:val="center"/>
          </w:tcPr>
          <w:p w14:paraId="20395A51">
            <w:pPr>
              <w:widowControl/>
              <w:jc w:val="left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提质增效抓课堂——新教师课堂驾驭、授课表达与课堂突发问题处置</w:t>
            </w:r>
          </w:p>
          <w:p w14:paraId="4D66A53F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bookmarkStart w:id="3" w:name="OLE_LINK19"/>
            <w:r>
              <w:rPr>
                <w:rFonts w:hint="eastAsia" w:cs="仿宋_GB2312"/>
                <w:sz w:val="24"/>
                <w:szCs w:val="24"/>
                <w:lang w:val="en-US"/>
              </w:rPr>
              <w:t>从科学开展课堂教学设计、合理规划教学节奏、优化课件内容入手，规范教师教姿教态，锤炼授课语言表达，增强课堂感染力。同时，梳理学生纪律问题、观点质疑、教学口误、设备故障等典型场景，讲解实用处置技巧与沟通策略，引导新教师从容控场、灵活应变，全面提升课堂驾驭能力，夯实从教根基。</w:t>
            </w:r>
            <w:bookmarkEnd w:id="3"/>
          </w:p>
        </w:tc>
        <w:tc>
          <w:tcPr>
            <w:tcW w:w="2693" w:type="dxa"/>
            <w:vAlign w:val="center"/>
          </w:tcPr>
          <w:p w14:paraId="0450E714">
            <w:pPr>
              <w:widowControl/>
              <w:jc w:val="both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学习成效：</w:t>
            </w:r>
          </w:p>
          <w:p w14:paraId="0CA34274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1.系统掌握以学定教的课堂教学设计方法与教学节奏的合理规划技巧</w:t>
            </w:r>
          </w:p>
          <w:p w14:paraId="41786771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2.学会优化课件内容、规范教姿教态及锤炼授课表达的具体策略</w:t>
            </w:r>
          </w:p>
          <w:p w14:paraId="64DAC5CD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3.掌握学生纪律问题、观点质疑、教学口误等典型突发场景的处置技巧与沟通方法</w:t>
            </w:r>
          </w:p>
          <w:p w14:paraId="13E14614">
            <w:pPr>
              <w:widowControl/>
              <w:jc w:val="both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sz w:val="24"/>
                <w:szCs w:val="24"/>
                <w:lang w:val="en-US"/>
              </w:rPr>
              <w:t>4.获得从容控场、灵活应变的课堂驾驭能力，全面夯实了从教根基</w:t>
            </w:r>
          </w:p>
        </w:tc>
        <w:tc>
          <w:tcPr>
            <w:tcW w:w="1660" w:type="dxa"/>
            <w:vAlign w:val="center"/>
          </w:tcPr>
          <w:p w14:paraId="34A598D8">
            <w:pPr>
              <w:widowControl/>
              <w:jc w:val="left"/>
              <w:rPr>
                <w:rFonts w:cs="仿宋_GB2312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cs="仿宋_GB2312"/>
                <w:b/>
                <w:bCs/>
                <w:sz w:val="24"/>
                <w:szCs w:val="24"/>
                <w:lang w:val="en-US"/>
              </w:rPr>
              <w:t>张厚升</w:t>
            </w:r>
          </w:p>
          <w:p w14:paraId="62086F05">
            <w:pPr>
              <w:widowControl/>
              <w:jc w:val="left"/>
              <w:rPr>
                <w:rFonts w:cs="仿宋_GB2312"/>
                <w:sz w:val="24"/>
                <w:szCs w:val="24"/>
                <w:lang w:val="en-US"/>
              </w:rPr>
            </w:pPr>
            <w:r>
              <w:rPr>
                <w:rFonts w:cs="仿宋_GB2312"/>
                <w:sz w:val="24"/>
                <w:szCs w:val="24"/>
                <w:lang w:val="en-US"/>
              </w:rPr>
              <w:t>山东省教学名师，山东理工大学三级教授。全国高校教师教学创新大赛一等奖获得者，国家级一流本科课程主持人。</w:t>
            </w:r>
          </w:p>
        </w:tc>
      </w:tr>
    </w:tbl>
    <w:p w14:paraId="71E7A8B2">
      <w:pPr>
        <w:widowControl/>
        <w:spacing w:before="120" w:beforeLines="50" w:line="400" w:lineRule="exact"/>
        <w:ind w:firstLine="560" w:firstLineChars="200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（</w:t>
      </w:r>
      <w:r>
        <w:rPr>
          <w:rFonts w:hint="eastAsia" w:cs="仿宋_GB2312"/>
          <w:color w:val="000000"/>
          <w:sz w:val="28"/>
          <w:szCs w:val="28"/>
          <w:lang w:val="en-US"/>
        </w:rPr>
        <w:t>备注：以上课程日程如有变化，以实际安排为准。</w:t>
      </w:r>
      <w:r>
        <w:rPr>
          <w:rFonts w:hint="eastAsia" w:cs="仿宋_GB2312"/>
          <w:color w:val="000000"/>
          <w:sz w:val="28"/>
          <w:szCs w:val="28"/>
          <w:lang w:val="en-US" w:eastAsia="zh-CN"/>
        </w:rPr>
        <w:t>）</w:t>
      </w:r>
    </w:p>
    <w:p w14:paraId="313C9CD8">
      <w:pPr>
        <w:widowControl/>
        <w:numPr>
          <w:numId w:val="0"/>
        </w:numPr>
        <w:autoSpaceDE/>
        <w:autoSpaceDN/>
        <w:spacing w:before="120" w:beforeLines="50" w:after="120" w:afterLines="50"/>
        <w:ind w:firstLine="560" w:firstLineChars="200"/>
        <w:rPr>
          <w:rFonts w:ascii="黑体" w:eastAsia="黑体" w:cs="黑体"/>
          <w:sz w:val="28"/>
          <w:szCs w:val="28"/>
          <w:lang w:val="en-US"/>
        </w:rPr>
      </w:pPr>
      <w:r>
        <w:rPr>
          <w:rFonts w:hint="eastAsia" w:ascii="黑体" w:eastAsia="黑体" w:cs="黑体"/>
          <w:sz w:val="28"/>
          <w:szCs w:val="28"/>
          <w:lang w:val="en-US" w:eastAsia="zh-CN"/>
        </w:rPr>
        <w:t>二、</w:t>
      </w:r>
      <w:r>
        <w:rPr>
          <w:rFonts w:hint="eastAsia" w:ascii="黑体" w:eastAsia="黑体" w:cs="黑体"/>
          <w:sz w:val="28"/>
          <w:szCs w:val="28"/>
          <w:lang w:val="en-US"/>
        </w:rPr>
        <w:t>专家简介</w:t>
      </w:r>
    </w:p>
    <w:p w14:paraId="76C740D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/>
        </w:rPr>
        <w:t>1.李鸿飞 —— 博士，华中师范大学研究员，湖北省“彩虹学者”，教育部教学信息化与教学方法创新教学指导委员会委员，曾任教育部实验室教学指导委员会委员。获得国家级教学成果奖特等奖。主要从事高等教育管理、实验室建设、人事人才、教育信息化等方面管理和研究工作，主持参与国家和省部级科研项目</w:t>
      </w:r>
      <w:r>
        <w:rPr>
          <w:rFonts w:cs="仿宋_GB2312"/>
          <w:color w:val="000000"/>
          <w:sz w:val="28"/>
          <w:szCs w:val="28"/>
          <w:lang w:val="en-US"/>
        </w:rPr>
        <w:t>10余项，在《中国高等教育研究》《教育经济与管理》等发表论文30余篇，主编出版实验室安全工作著作2部，曾获国家教学成果奖特等奖、省部级科技进步奖等奖项4项。</w:t>
      </w:r>
    </w:p>
    <w:p w14:paraId="2BFC492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/>
        </w:rPr>
        <w:t>2.刘学莘 —— 福建农林大学教授，博士，第二届全国高校教师教学创新大赛一等奖获得者，主持</w:t>
      </w:r>
      <w:r>
        <w:rPr>
          <w:rFonts w:cs="仿宋_GB2312"/>
          <w:color w:val="000000"/>
          <w:sz w:val="28"/>
          <w:szCs w:val="28"/>
          <w:lang w:val="en-US"/>
        </w:rPr>
        <w:t>3门国家级一流本科课程。“金山学者”领军教学人才、教学名师、最高教学奖获得者，福建省信息化教学专家、福建省“课程思政”教学名师。近年来，主持4门省级一流本科课程，1门省级课程思政示范课程，获得国家级教学成果二等奖，福建省高校教师教学创新大赛一等奖，福建省高校青年教师教学竞赛一等奖，承担国家艺术基金，国家自然基金等科研、教学项目20余项，发表论文50余篇，出版教材2部，专著1部。</w:t>
      </w:r>
    </w:p>
    <w:p w14:paraId="20EB82C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3</w:t>
      </w:r>
      <w:r>
        <w:rPr>
          <w:rFonts w:hint="eastAsia" w:cs="仿宋_GB2312"/>
          <w:color w:val="000000"/>
          <w:sz w:val="28"/>
          <w:szCs w:val="28"/>
          <w:lang w:val="en-US"/>
        </w:rPr>
        <w:t xml:space="preserve">.王森 </w:t>
      </w:r>
      <w:r>
        <w:rPr>
          <w:rFonts w:cs="仿宋_GB2312"/>
          <w:color w:val="000000"/>
          <w:sz w:val="28"/>
          <w:szCs w:val="28"/>
          <w:lang w:val="en-US"/>
        </w:rPr>
        <w:t>—— 浙江理工大学信息技术中心副主任，中国高等教育学会培训中心专职讲师，学校教师教学发展培训师，曾任本科教学评价与指导中心，教师教学发展中心副主任。主要研究方向是高等教育研究与管理。主持省部级教改课题4项、厅局级教改课题10多项，获省级教学成果二等奖3项，发表相关研究论文20多篇。</w:t>
      </w:r>
    </w:p>
    <w:p w14:paraId="1F6607B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cs="仿宋_GB2312"/>
          <w:color w:val="000000"/>
          <w:sz w:val="28"/>
          <w:szCs w:val="28"/>
          <w:lang w:val="en-US"/>
        </w:rPr>
        <w:t>.赵一馨</w:t>
      </w:r>
      <w:r>
        <w:rPr>
          <w:rFonts w:cs="仿宋_GB2312"/>
          <w:color w:val="000000"/>
          <w:sz w:val="28"/>
          <w:szCs w:val="28"/>
          <w:lang w:val="en-US"/>
        </w:rPr>
        <w:t xml:space="preserve"> —— 第六届全国高校青年教师教学竞赛医科组一等奖。北京大学人民医院副主任医师，教育处副处长。2022年度“首都劳动奖章”获得者，北京高校第十二届青年教师教学基本功比赛最受学生欢迎奖（第一名）、最佳教案奖（第一名）、最佳现场展示奖，最佳教学反思奖，总成绩一等奖（第一名）。荣获北京高校优质本科教案奖、北京大学医学部教学新秀奖、北京大学青年岗位能手等荣誉。</w:t>
      </w:r>
    </w:p>
    <w:p w14:paraId="0BAA784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cs="仿宋_GB2312"/>
          <w:color w:val="000000"/>
          <w:sz w:val="28"/>
          <w:szCs w:val="28"/>
          <w:lang w:val="en-US"/>
        </w:rPr>
        <w:t>.王力娟 —— 上海交通大学专职科研系列副研究员，发展与教育心理学博士，硕士生导师，</w:t>
      </w:r>
      <w:r>
        <w:rPr>
          <w:rFonts w:cs="仿宋_GB2312"/>
          <w:color w:val="000000"/>
          <w:sz w:val="28"/>
          <w:szCs w:val="28"/>
          <w:lang w:val="en-US"/>
        </w:rPr>
        <w:t>ISW、FDW培训师，《教学学术》主编。主持国家社科基金教育学项目2项，省部级教育科学规划重点项目1项，出版专著3部、编著1部，发表SSCI等期刊论文30多篇。研究方向为教师焦虑、教学学术和大学生责任意识培养。专长为教师培训、教学咨询和教学学术研究。获得国家级教学成果二等奖（2023）、上海市教学成果特等奖（2022）、上海交通大学教学成果特等奖和一等奖（2019）等奖项。</w:t>
      </w:r>
    </w:p>
    <w:p w14:paraId="3BEC99F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rFonts w:cs="仿宋_GB2312"/>
          <w:color w:val="000000"/>
          <w:sz w:val="28"/>
          <w:szCs w:val="28"/>
          <w:lang w:val="en-US"/>
        </w:rPr>
      </w:pPr>
      <w:r>
        <w:rPr>
          <w:rFonts w:hint="eastAsia" w:cs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cs="仿宋_GB2312"/>
          <w:color w:val="000000"/>
          <w:sz w:val="28"/>
          <w:szCs w:val="28"/>
          <w:lang w:val="en-US"/>
        </w:rPr>
        <w:t>.邓弋威 —— 浙江工商大学教务处副处长，金融学院副教授，硕士生导师，厦门大学金融工程方向博士。曾获第五届全国高校青年教师教学竞赛一等奖、第五届全国高校教师教学创新大赛一等奖。研究方向为金融工程、资产定价与风险管理。曾获浙江省高校优秀共产党员荣誉，主持国家社科基金青年项目、国家一流课程《金融风险管理》、省级研究生课程思政示范课《金融风险管理》、省级名师创新工作室等。</w:t>
      </w:r>
    </w:p>
    <w:p w14:paraId="6FFB153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firstLine="560" w:firstLineChars="200"/>
        <w:textAlignment w:val="auto"/>
        <w:rPr>
          <w:sz w:val="28"/>
          <w:szCs w:val="28"/>
        </w:rPr>
      </w:pPr>
      <w:bookmarkStart w:id="4" w:name="_GoBack"/>
      <w:bookmarkEnd w:id="4"/>
      <w:r>
        <w:rPr>
          <w:rFonts w:hint="eastAsia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cs="仿宋_GB2312"/>
          <w:color w:val="000000"/>
          <w:sz w:val="28"/>
          <w:szCs w:val="28"/>
          <w:lang w:val="en-US"/>
        </w:rPr>
        <w:t>.张厚升 —— 山东省教学名师，山东理工大学三级教授，工学博士，硕士生导师，新西兰奥克兰大学访问学者。第二届全国高校教师教学创新大赛一等奖获得者，第二批国家级一流本科课程主持人；首位获山东省普通高等学校教师教学创新大赛一等奖、山东省第九届教学成果奖二等奖，主持山东省普通高等教育课程思政示范课程、山东省一流本科课程、、山东省智慧课程、山东省精品课程，获山东省教育厅“师者本色——我的从教故事”优秀征文，获山东省优秀教学案例二等奖</w:t>
      </w:r>
      <w:r>
        <w:rPr>
          <w:rFonts w:cs="仿宋_GB2312"/>
          <w:color w:val="000000"/>
          <w:sz w:val="28"/>
          <w:szCs w:val="28"/>
          <w:lang w:val="en-US"/>
        </w:rPr>
        <w:t>1项、校教学成果奖一等奖5项，参与获山东省教学成果奖一等奖1项、二等奖1项，山东省电子协会教学成果奖一等奖1项；主持山东省本科教改重点项目、山东省研究生教育质量提升计划项目等5项、参与5</w:t>
      </w:r>
      <w:r>
        <w:rPr>
          <w:rFonts w:hint="eastAsia" w:cs="仿宋_GB2312"/>
          <w:color w:val="000000"/>
          <w:sz w:val="28"/>
          <w:szCs w:val="28"/>
          <w:lang w:val="en-US"/>
        </w:rPr>
        <w:t>项，参与</w:t>
      </w:r>
      <w:r>
        <w:rPr>
          <w:rFonts w:cs="仿宋_GB2312"/>
          <w:color w:val="000000"/>
          <w:sz w:val="28"/>
          <w:szCs w:val="28"/>
          <w:lang w:val="en-US"/>
        </w:rPr>
        <w:t>/主持国家级、省级等各类科研项目等20余项，发表学术论文80多篇，其中被SCI、EI检索30多篇，首位/通讯发表教研类核心期刊论文12篇。获淄博市选树表扬教师、淄博市优秀共产党员、淄博市优秀科技副总。获国际ISW（教学技能工作坊）、FDW（教学技能引导员）资格认证。山东理工大学教师教学创新大赛指导团队教发专项负责人、师德宣讲团成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C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2026-09-01T01:26:21Z</dcterms:created>
  <dc:creator>Administrator</dc:creator>
  <cp:lastModifiedBy>风之刃</cp:lastModifiedBy>
  <dcterms:modified xsi:type="dcterms:W3CDTF">2026-09-01T01:29:38Z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FAFB5D5BE8CC43D6B8CC334AD91D4545_12</vt:lpwstr>
  </property>
</Properties>
</file>