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8E83" w14:textId="77777777" w:rsidR="00F51B79" w:rsidRDefault="00000000">
      <w:pPr>
        <w:spacing w:after="0"/>
        <w:rPr>
          <w:rFonts w:hint="eastAsia"/>
        </w:rPr>
      </w:pPr>
      <w:r>
        <w:rPr>
          <w:sz w:val="70"/>
        </w:rPr>
        <w:t>」一</w:t>
      </w:r>
      <w:proofErr w:type="gramStart"/>
      <w:r>
        <w:rPr>
          <w:sz w:val="70"/>
        </w:rPr>
        <w:t>亠</w:t>
      </w:r>
      <w:proofErr w:type="gramEnd"/>
      <w:r>
        <w:rPr>
          <w:sz w:val="70"/>
        </w:rPr>
        <w:t>件</w:t>
      </w:r>
    </w:p>
    <w:p w14:paraId="10AF26B7" w14:textId="77777777" w:rsidR="00F51B79" w:rsidRDefault="00000000">
      <w:pPr>
        <w:spacing w:after="0"/>
        <w:ind w:left="96"/>
        <w:jc w:val="center"/>
        <w:rPr>
          <w:rFonts w:hint="eastAsia"/>
        </w:rPr>
      </w:pPr>
      <w:r>
        <w:rPr>
          <w:sz w:val="24"/>
        </w:rPr>
        <w:t>北地基字〔2020〕3号</w:t>
      </w:r>
    </w:p>
    <w:p w14:paraId="2A6CE45E" w14:textId="77777777" w:rsidR="00F51B79" w:rsidRDefault="00000000">
      <w:pPr>
        <w:spacing w:after="693"/>
        <w:ind w:left="68"/>
        <w:rPr>
          <w:rFonts w:hint="eastAsia"/>
        </w:rPr>
      </w:pPr>
      <w:r>
        <w:rPr>
          <w:noProof/>
        </w:rPr>
        <mc:AlternateContent>
          <mc:Choice Requires="wpg">
            <w:drawing>
              <wp:inline distT="0" distB="0" distL="0" distR="0" wp14:anchorId="79E365F5" wp14:editId="23CB6D3A">
                <wp:extent cx="5844871" cy="35965"/>
                <wp:effectExtent l="0" t="0" r="0" b="0"/>
                <wp:docPr id="12695" name="Group 12695"/>
                <wp:cNvGraphicFramePr/>
                <a:graphic xmlns:a="http://schemas.openxmlformats.org/drawingml/2006/main">
                  <a:graphicData uri="http://schemas.microsoft.com/office/word/2010/wordprocessingGroup">
                    <wpg:wgp>
                      <wpg:cNvGrpSpPr/>
                      <wpg:grpSpPr>
                        <a:xfrm>
                          <a:off x="0" y="0"/>
                          <a:ext cx="5844871" cy="35965"/>
                          <a:chOff x="0" y="0"/>
                          <a:chExt cx="5844871" cy="35965"/>
                        </a:xfrm>
                      </wpg:grpSpPr>
                      <wps:wsp>
                        <wps:cNvPr id="12694" name="Shape 12694"/>
                        <wps:cNvSpPr/>
                        <wps:spPr>
                          <a:xfrm>
                            <a:off x="0" y="0"/>
                            <a:ext cx="5844871" cy="35965"/>
                          </a:xfrm>
                          <a:custGeom>
                            <a:avLst/>
                            <a:gdLst/>
                            <a:ahLst/>
                            <a:cxnLst/>
                            <a:rect l="0" t="0" r="0" b="0"/>
                            <a:pathLst>
                              <a:path w="5844871" h="35965">
                                <a:moveTo>
                                  <a:pt x="0" y="17983"/>
                                </a:moveTo>
                                <a:lnTo>
                                  <a:pt x="5844871" y="17983"/>
                                </a:lnTo>
                              </a:path>
                            </a:pathLst>
                          </a:custGeom>
                          <a:ln w="3596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695" style="width:460.226pt;height:2.83191pt;mso-position-horizontal-relative:char;mso-position-vertical-relative:line" coordsize="58448,359">
                <v:shape id="Shape 12694" style="position:absolute;width:58448;height:359;left:0;top:0;" coordsize="5844871,35965" path="m0,17983l5844871,17983">
                  <v:stroke weight="2.83191pt" endcap="flat" joinstyle="miter" miterlimit="1" on="true" color="#000000"/>
                  <v:fill on="false" color="#000000"/>
                </v:shape>
              </v:group>
            </w:pict>
          </mc:Fallback>
        </mc:AlternateContent>
      </w:r>
    </w:p>
    <w:p w14:paraId="2E81B23B" w14:textId="77777777" w:rsidR="00F51B79" w:rsidRDefault="00000000">
      <w:pPr>
        <w:pStyle w:val="1"/>
        <w:rPr>
          <w:rFonts w:hint="eastAsia"/>
        </w:rPr>
      </w:pPr>
      <w:r>
        <w:t>北京中国地质大学教育基金言</w:t>
      </w:r>
      <w:proofErr w:type="gramStart"/>
      <w:r>
        <w:t>息公开</w:t>
      </w:r>
      <w:proofErr w:type="gramEnd"/>
      <w:r>
        <w:t>制度</w:t>
      </w:r>
      <w:r>
        <w:rPr>
          <w:noProof/>
        </w:rPr>
        <w:drawing>
          <wp:inline distT="0" distB="0" distL="0" distR="0" wp14:anchorId="4E2A2269" wp14:editId="4176F5E7">
            <wp:extent cx="3597" cy="3597"/>
            <wp:effectExtent l="0" t="0" r="0" b="0"/>
            <wp:docPr id="2295" name="Picture 2295"/>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r:embed="rId7"/>
                    <a:stretch>
                      <a:fillRect/>
                    </a:stretch>
                  </pic:blipFill>
                  <pic:spPr>
                    <a:xfrm>
                      <a:off x="0" y="0"/>
                      <a:ext cx="3597" cy="3597"/>
                    </a:xfrm>
                    <a:prstGeom prst="rect">
                      <a:avLst/>
                    </a:prstGeom>
                  </pic:spPr>
                </pic:pic>
              </a:graphicData>
            </a:graphic>
          </wp:inline>
        </w:drawing>
      </w:r>
    </w:p>
    <w:p w14:paraId="409F513C" w14:textId="77777777" w:rsidR="00F51B79" w:rsidRDefault="00000000">
      <w:pPr>
        <w:spacing w:after="150" w:line="229" w:lineRule="auto"/>
        <w:ind w:left="653" w:right="363" w:firstLine="545"/>
        <w:rPr>
          <w:rFonts w:hint="eastAsia"/>
        </w:rPr>
      </w:pPr>
      <w:r>
        <w:rPr>
          <w:sz w:val="26"/>
        </w:rPr>
        <w:t>第一条为规范管理北京中国地质大学教育基金会（以下简称“基金会"）信息，扩大公开透明，保障捐赠者、受益人和基金会的合法权益，依据《基金会管理条例》、《基金会信息公布办法》、《关于规范基金会若干行为的规定（试行）》、《公益慈善捐助信息披露指引》以及《北京中国地质大学教育基金会章程》，结合本基金会实际情况，特制定本制度。</w:t>
      </w:r>
    </w:p>
    <w:p w14:paraId="3AFC2F6F" w14:textId="77777777" w:rsidR="00F51B79" w:rsidRDefault="00000000">
      <w:pPr>
        <w:spacing w:after="82" w:line="251" w:lineRule="auto"/>
        <w:ind w:left="682" w:right="561" w:firstLine="561"/>
        <w:jc w:val="both"/>
        <w:rPr>
          <w:rFonts w:hint="eastAsia"/>
        </w:rPr>
      </w:pPr>
      <w:r>
        <w:rPr>
          <w:sz w:val="26"/>
        </w:rPr>
        <w:t>第二条本制度所称信息公布，是指基金会按照相关法律法规和本制度的规定，将基金会内部信息和业务活动信息通过媒体向社会公布的活动。</w:t>
      </w:r>
    </w:p>
    <w:p w14:paraId="77B4777C" w14:textId="77777777" w:rsidR="00F51B79" w:rsidRDefault="00000000">
      <w:pPr>
        <w:spacing w:after="0" w:line="257" w:lineRule="auto"/>
        <w:ind w:left="708" w:right="498" w:firstLine="555"/>
        <w:rPr>
          <w:rFonts w:hint="eastAsia"/>
        </w:rPr>
      </w:pPr>
      <w:r>
        <w:rPr>
          <w:sz w:val="24"/>
        </w:rPr>
        <w:t>第三条基金会将遵循及时准确、方便获取、规范有序的原则，主动披露应该公开的信息，但可能危及国家安全、侵犯他人权益或隐私，以及其他法律法规规定不予公开的信息可不予公开。捐赠者和受益人等当事人不愿意公开的捐助信息，应当事先与基金会进行约定。若无事先约定，相关慈善捐助信息均予公开。不予公开的信息仍需接受北京市民政局的监督检查。</w:t>
      </w:r>
    </w:p>
    <w:p w14:paraId="6158B8CC" w14:textId="77777777" w:rsidR="00F51B79" w:rsidRDefault="00000000">
      <w:pPr>
        <w:spacing w:after="4" w:line="251" w:lineRule="auto"/>
        <w:ind w:left="1263" w:right="185" w:hanging="10"/>
        <w:jc w:val="both"/>
        <w:rPr>
          <w:rFonts w:hint="eastAsia"/>
        </w:rPr>
      </w:pPr>
      <w:r>
        <w:rPr>
          <w:sz w:val="26"/>
        </w:rPr>
        <w:t>第四条基金会主动公开内容包括：</w:t>
      </w:r>
    </w:p>
    <w:p w14:paraId="23B6418E" w14:textId="77777777" w:rsidR="00F51B79" w:rsidRDefault="00000000">
      <w:pPr>
        <w:numPr>
          <w:ilvl w:val="0"/>
          <w:numId w:val="1"/>
        </w:numPr>
        <w:spacing w:after="29" w:line="251" w:lineRule="auto"/>
        <w:ind w:right="185" w:firstLine="700"/>
        <w:jc w:val="both"/>
        <w:rPr>
          <w:rFonts w:hint="eastAsia"/>
        </w:rPr>
      </w:pPr>
      <w:r>
        <w:rPr>
          <w:sz w:val="26"/>
        </w:rPr>
        <w:t>机构信息：包括基金会组织架构、理事会成员情况及来源单位、基金会章程、内部管理制度、联系方式等；</w:t>
      </w:r>
    </w:p>
    <w:p w14:paraId="21FD9717" w14:textId="77777777" w:rsidR="00F51B79" w:rsidRDefault="00000000">
      <w:pPr>
        <w:numPr>
          <w:ilvl w:val="0"/>
          <w:numId w:val="1"/>
        </w:numPr>
        <w:spacing w:after="4" w:line="251" w:lineRule="auto"/>
        <w:ind w:right="185" w:firstLine="700"/>
        <w:jc w:val="both"/>
        <w:rPr>
          <w:rFonts w:hint="eastAsia"/>
        </w:rPr>
      </w:pPr>
      <w:r>
        <w:rPr>
          <w:sz w:val="26"/>
        </w:rPr>
        <w:t>年检信息：包括年度工作报告、审计报告、年检结论等；</w:t>
      </w:r>
    </w:p>
    <w:p w14:paraId="189A112B" w14:textId="77777777" w:rsidR="00F51B79" w:rsidRDefault="00000000">
      <w:pPr>
        <w:numPr>
          <w:ilvl w:val="0"/>
          <w:numId w:val="1"/>
        </w:numPr>
        <w:spacing w:after="4" w:line="251" w:lineRule="auto"/>
        <w:ind w:right="185" w:firstLine="700"/>
        <w:jc w:val="both"/>
        <w:rPr>
          <w:rFonts w:hint="eastAsia"/>
        </w:rPr>
      </w:pPr>
      <w:r>
        <w:rPr>
          <w:sz w:val="26"/>
        </w:rPr>
        <w:t>相关资格：包括基金会免税资格、捐赠支出税前扣除资格等相关文件；</w:t>
      </w:r>
    </w:p>
    <w:p w14:paraId="699160DB" w14:textId="77777777" w:rsidR="00F51B79" w:rsidRDefault="00000000">
      <w:pPr>
        <w:numPr>
          <w:ilvl w:val="0"/>
          <w:numId w:val="1"/>
        </w:numPr>
        <w:spacing w:after="4" w:line="251" w:lineRule="auto"/>
        <w:ind w:right="185" w:firstLine="700"/>
        <w:jc w:val="both"/>
        <w:rPr>
          <w:rFonts w:hint="eastAsia"/>
        </w:rPr>
      </w:pPr>
      <w:r>
        <w:rPr>
          <w:sz w:val="26"/>
        </w:rPr>
        <w:lastRenderedPageBreak/>
        <w:t>主要捐赠者及捐赠收入：</w:t>
      </w:r>
    </w:p>
    <w:p w14:paraId="093DA148" w14:textId="77777777" w:rsidR="00F51B79" w:rsidRDefault="00000000">
      <w:pPr>
        <w:numPr>
          <w:ilvl w:val="0"/>
          <w:numId w:val="1"/>
        </w:numPr>
        <w:spacing w:after="4" w:line="251" w:lineRule="auto"/>
        <w:ind w:right="185" w:firstLine="700"/>
        <w:jc w:val="both"/>
        <w:rPr>
          <w:rFonts w:hint="eastAsia"/>
        </w:rPr>
      </w:pPr>
      <w:r>
        <w:rPr>
          <w:noProof/>
        </w:rPr>
        <w:drawing>
          <wp:anchor distT="0" distB="0" distL="114300" distR="114300" simplePos="0" relativeHeight="251658240" behindDoc="0" locked="0" layoutInCell="1" allowOverlap="0" wp14:anchorId="0BC47E01" wp14:editId="0C22B319">
            <wp:simplePos x="0" y="0"/>
            <wp:positionH relativeFrom="page">
              <wp:posOffset>6823874</wp:posOffset>
            </wp:positionH>
            <wp:positionV relativeFrom="page">
              <wp:posOffset>9059669</wp:posOffset>
            </wp:positionV>
            <wp:extent cx="11392" cy="18984"/>
            <wp:effectExtent l="0" t="0" r="0" b="0"/>
            <wp:wrapSquare wrapText="bothSides"/>
            <wp:docPr id="5203" name="Picture 5203"/>
            <wp:cNvGraphicFramePr/>
            <a:graphic xmlns:a="http://schemas.openxmlformats.org/drawingml/2006/main">
              <a:graphicData uri="http://schemas.openxmlformats.org/drawingml/2006/picture">
                <pic:pic xmlns:pic="http://schemas.openxmlformats.org/drawingml/2006/picture">
                  <pic:nvPicPr>
                    <pic:cNvPr id="5203" name="Picture 5203"/>
                    <pic:cNvPicPr/>
                  </pic:nvPicPr>
                  <pic:blipFill>
                    <a:blip r:embed="rId8"/>
                    <a:stretch>
                      <a:fillRect/>
                    </a:stretch>
                  </pic:blipFill>
                  <pic:spPr>
                    <a:xfrm>
                      <a:off x="0" y="0"/>
                      <a:ext cx="11392" cy="18984"/>
                    </a:xfrm>
                    <a:prstGeom prst="rect">
                      <a:avLst/>
                    </a:prstGeom>
                  </pic:spPr>
                </pic:pic>
              </a:graphicData>
            </a:graphic>
          </wp:anchor>
        </w:drawing>
      </w:r>
      <w:r>
        <w:rPr>
          <w:sz w:val="26"/>
        </w:rPr>
        <w:t>主要公益活动项目信息：包括项目情况及相关新闻、 慈善信托有关情况：</w:t>
      </w:r>
    </w:p>
    <w:p w14:paraId="1C60F3F7" w14:textId="77777777" w:rsidR="00F51B79" w:rsidRDefault="00000000">
      <w:pPr>
        <w:numPr>
          <w:ilvl w:val="0"/>
          <w:numId w:val="1"/>
        </w:numPr>
        <w:spacing w:after="4" w:line="251" w:lineRule="auto"/>
        <w:ind w:right="185" w:firstLine="700"/>
        <w:jc w:val="both"/>
        <w:rPr>
          <w:rFonts w:hint="eastAsia"/>
        </w:rPr>
      </w:pPr>
      <w:r>
        <w:rPr>
          <w:sz w:val="26"/>
        </w:rPr>
        <w:t>其他需要公开的信息。</w:t>
      </w:r>
    </w:p>
    <w:p w14:paraId="4E7C1608" w14:textId="77777777" w:rsidR="00F51B79" w:rsidRDefault="00000000">
      <w:pPr>
        <w:spacing w:after="4" w:line="251" w:lineRule="auto"/>
        <w:ind w:left="1275" w:right="185" w:hanging="10"/>
        <w:jc w:val="both"/>
        <w:rPr>
          <w:rFonts w:hint="eastAsia"/>
        </w:rPr>
      </w:pPr>
      <w:r>
        <w:rPr>
          <w:sz w:val="26"/>
        </w:rPr>
        <w:t>第五条基金会信息公布渠道：</w:t>
      </w:r>
    </w:p>
    <w:p w14:paraId="09661FCE" w14:textId="77777777" w:rsidR="00F51B79" w:rsidRDefault="00000000">
      <w:pPr>
        <w:numPr>
          <w:ilvl w:val="0"/>
          <w:numId w:val="2"/>
        </w:numPr>
        <w:spacing w:after="41" w:line="251" w:lineRule="auto"/>
        <w:ind w:right="240" w:firstLine="703"/>
        <w:jc w:val="both"/>
        <w:rPr>
          <w:rFonts w:hint="eastAsia"/>
        </w:rPr>
      </w:pPr>
      <w:r>
        <w:rPr>
          <w:sz w:val="26"/>
        </w:rPr>
        <w:t>基金会网站是信息公布的主要渠道，所有属主动公开范围的信息均在基金会网站上公开；</w:t>
      </w:r>
    </w:p>
    <w:p w14:paraId="2DDECEB8" w14:textId="77777777" w:rsidR="00F51B79" w:rsidRDefault="00000000">
      <w:pPr>
        <w:numPr>
          <w:ilvl w:val="0"/>
          <w:numId w:val="2"/>
        </w:numPr>
        <w:spacing w:after="4" w:line="251" w:lineRule="auto"/>
        <w:ind w:right="240" w:firstLine="703"/>
        <w:jc w:val="both"/>
        <w:rPr>
          <w:rFonts w:hint="eastAsia"/>
        </w:rPr>
      </w:pPr>
      <w:r>
        <w:rPr>
          <w:sz w:val="26"/>
        </w:rPr>
        <w:t>在中国地质大学（北京）各宣传平台、北京市民政局指定的媒体以及其他主流媒体（电视、广播、报刊）上公布本基金会相关信息；（三）综合其他传媒途径进行信息公开，包括移动传媒、网络媒体、</w:t>
      </w:r>
      <w:proofErr w:type="gramStart"/>
      <w:r>
        <w:rPr>
          <w:sz w:val="26"/>
        </w:rPr>
        <w:t>博客微</w:t>
      </w:r>
      <w:proofErr w:type="gramEnd"/>
      <w:r>
        <w:rPr>
          <w:sz w:val="26"/>
        </w:rPr>
        <w:t>博、电子邮件、手机、固定电话、展板、出版物和专題活动等；</w:t>
      </w:r>
    </w:p>
    <w:p w14:paraId="57AD3B1D" w14:textId="77777777" w:rsidR="00F51B79" w:rsidRDefault="00000000">
      <w:pPr>
        <w:spacing w:after="74" w:line="251" w:lineRule="auto"/>
        <w:ind w:left="682" w:right="185" w:firstLine="712"/>
        <w:jc w:val="both"/>
        <w:rPr>
          <w:rFonts w:hint="eastAsia"/>
        </w:rPr>
      </w:pPr>
      <w:r>
        <w:rPr>
          <w:sz w:val="26"/>
        </w:rPr>
        <w:t>（四）基金会每年应按照要求向北京市民政局报送上一年度的年度工作报告；审查通过后30日内，基金会按照统一的格式要求，在北京市民政局指定的媒体上公布年度工作报告的全文和摘要。</w:t>
      </w:r>
    </w:p>
    <w:p w14:paraId="2BC1B24F" w14:textId="77777777" w:rsidR="00F51B79" w:rsidRDefault="00000000">
      <w:pPr>
        <w:spacing w:after="26" w:line="251" w:lineRule="auto"/>
        <w:ind w:left="682" w:right="185" w:firstLine="582"/>
        <w:jc w:val="both"/>
        <w:rPr>
          <w:rFonts w:hint="eastAsia"/>
        </w:rPr>
      </w:pPr>
      <w:r>
        <w:rPr>
          <w:sz w:val="26"/>
        </w:rPr>
        <w:t>第六条所公开的信息资料应当真实、准确、完整，不得有虚假记载、误导性陈述或者重大遗漏。</w:t>
      </w:r>
    </w:p>
    <w:p w14:paraId="40E25452" w14:textId="77777777" w:rsidR="00F51B79" w:rsidRDefault="00000000">
      <w:pPr>
        <w:spacing w:after="90" w:line="251" w:lineRule="auto"/>
        <w:ind w:left="682" w:right="185" w:firstLine="576"/>
        <w:jc w:val="both"/>
        <w:rPr>
          <w:rFonts w:hint="eastAsia"/>
        </w:rPr>
      </w:pPr>
      <w:r>
        <w:rPr>
          <w:sz w:val="26"/>
        </w:rPr>
        <w:t>第七条信息一经公布，不得任意修改。确需修改的，须严格履行内部管理制度的程序在修改后重新公布，并说明理由，声明原信息作废。</w:t>
      </w:r>
    </w:p>
    <w:p w14:paraId="45C99C8A" w14:textId="77777777" w:rsidR="00F51B79" w:rsidRDefault="00000000">
      <w:pPr>
        <w:spacing w:after="4" w:line="251" w:lineRule="auto"/>
        <w:ind w:left="682" w:right="185" w:firstLine="571"/>
        <w:jc w:val="both"/>
        <w:rPr>
          <w:rFonts w:hint="eastAsia"/>
        </w:rPr>
      </w:pPr>
      <w:r>
        <w:rPr>
          <w:sz w:val="26"/>
        </w:rPr>
        <w:t>第八条对于公共媒体上出现的对本基金会造成或可能造成不利影响的消息，应当及时公开说明或澄清。</w:t>
      </w:r>
    </w:p>
    <w:p w14:paraId="6287304C" w14:textId="77777777" w:rsidR="00F51B79" w:rsidRDefault="00000000">
      <w:pPr>
        <w:spacing w:after="16" w:line="229" w:lineRule="auto"/>
        <w:ind w:left="653" w:right="2" w:firstLine="545"/>
        <w:rPr>
          <w:rFonts w:hint="eastAsia"/>
        </w:rPr>
      </w:pPr>
      <w:r>
        <w:rPr>
          <w:sz w:val="26"/>
        </w:rPr>
        <w:t>第九条基金会秘书处负责对基金会信息公开进行统一管理，并承办信息公开工作，定期监测各部门负责管理并已经公开的信息，同时对于已经公布的信息，制作信息公布档案，妥善保管。</w:t>
      </w:r>
    </w:p>
    <w:p w14:paraId="7754CF76" w14:textId="77777777" w:rsidR="00F51B79" w:rsidRDefault="00000000">
      <w:pPr>
        <w:spacing w:after="134"/>
        <w:ind w:left="1051"/>
        <w:jc w:val="center"/>
        <w:rPr>
          <w:rFonts w:hint="eastAsia"/>
        </w:rPr>
      </w:pPr>
      <w:r>
        <w:rPr>
          <w:sz w:val="26"/>
        </w:rPr>
        <w:t>附则</w:t>
      </w:r>
    </w:p>
    <w:p w14:paraId="0BA7EBBD" w14:textId="77777777" w:rsidR="00F51B79" w:rsidRDefault="00000000">
      <w:pPr>
        <w:spacing w:after="76" w:line="251" w:lineRule="auto"/>
        <w:ind w:left="1296" w:right="185" w:hanging="10"/>
        <w:jc w:val="both"/>
        <w:rPr>
          <w:rFonts w:hint="eastAsia"/>
        </w:rPr>
      </w:pPr>
      <w:r>
        <w:rPr>
          <w:sz w:val="26"/>
        </w:rPr>
        <w:t>第十条本制度由基金会负责解释与修订。</w:t>
      </w:r>
    </w:p>
    <w:p w14:paraId="440B6D87" w14:textId="77777777" w:rsidR="00F51B79" w:rsidRDefault="00000000">
      <w:pPr>
        <w:spacing w:after="909" w:line="251" w:lineRule="auto"/>
        <w:ind w:left="1296" w:right="185" w:hanging="10"/>
        <w:jc w:val="both"/>
        <w:rPr>
          <w:rFonts w:hint="eastAsia"/>
        </w:rPr>
      </w:pPr>
      <w:r>
        <w:rPr>
          <w:sz w:val="26"/>
        </w:rPr>
        <w:t>第十一条本制度自颁布之日起实施。</w:t>
      </w:r>
    </w:p>
    <w:p w14:paraId="0575B2E8" w14:textId="77777777" w:rsidR="00F51B79" w:rsidRDefault="00000000">
      <w:pPr>
        <w:spacing w:after="453"/>
        <w:ind w:left="5255"/>
        <w:jc w:val="center"/>
        <w:rPr>
          <w:rFonts w:hint="eastAsia"/>
        </w:rPr>
      </w:pPr>
      <w:r>
        <w:lastRenderedPageBreak/>
        <w:t>北京中</w:t>
      </w:r>
      <w:r>
        <w:rPr>
          <w:noProof/>
        </w:rPr>
        <w:drawing>
          <wp:inline distT="0" distB="0" distL="0" distR="0" wp14:anchorId="2A3D8B8B" wp14:editId="161F1596">
            <wp:extent cx="1977947" cy="1522732"/>
            <wp:effectExtent l="0" t="0" r="0" b="0"/>
            <wp:docPr id="12696" name="Picture 12696"/>
            <wp:cNvGraphicFramePr/>
            <a:graphic xmlns:a="http://schemas.openxmlformats.org/drawingml/2006/main">
              <a:graphicData uri="http://schemas.openxmlformats.org/drawingml/2006/picture">
                <pic:pic xmlns:pic="http://schemas.openxmlformats.org/drawingml/2006/picture">
                  <pic:nvPicPr>
                    <pic:cNvPr id="12696" name="Picture 12696"/>
                    <pic:cNvPicPr/>
                  </pic:nvPicPr>
                  <pic:blipFill>
                    <a:blip r:embed="rId9"/>
                    <a:stretch>
                      <a:fillRect/>
                    </a:stretch>
                  </pic:blipFill>
                  <pic:spPr>
                    <a:xfrm>
                      <a:off x="0" y="0"/>
                      <a:ext cx="1977947" cy="1522732"/>
                    </a:xfrm>
                    <a:prstGeom prst="rect">
                      <a:avLst/>
                    </a:prstGeom>
                  </pic:spPr>
                </pic:pic>
              </a:graphicData>
            </a:graphic>
          </wp:inline>
        </w:drawing>
      </w:r>
    </w:p>
    <w:p w14:paraId="0F5D201D" w14:textId="77777777" w:rsidR="00F51B79" w:rsidRDefault="00000000">
      <w:pPr>
        <w:pStyle w:val="2"/>
        <w:rPr>
          <w:rFonts w:hint="eastAsia"/>
        </w:rPr>
      </w:pPr>
      <w:r>
        <w:t>主题词：信息公开制度</w:t>
      </w:r>
    </w:p>
    <w:p w14:paraId="02A5A3FF" w14:textId="77777777" w:rsidR="00F51B79" w:rsidRDefault="00000000">
      <w:pPr>
        <w:spacing w:after="105"/>
        <w:ind w:left="506" w:right="-79"/>
        <w:rPr>
          <w:rFonts w:hint="eastAsia"/>
        </w:rPr>
      </w:pPr>
      <w:r>
        <w:rPr>
          <w:noProof/>
        </w:rPr>
        <w:drawing>
          <wp:inline distT="0" distB="0" distL="0" distR="0" wp14:anchorId="418BD6E9" wp14:editId="2CC0840F">
            <wp:extent cx="5656559" cy="25871"/>
            <wp:effectExtent l="0" t="0" r="0" b="0"/>
            <wp:docPr id="12698" name="Picture 12698"/>
            <wp:cNvGraphicFramePr/>
            <a:graphic xmlns:a="http://schemas.openxmlformats.org/drawingml/2006/main">
              <a:graphicData uri="http://schemas.openxmlformats.org/drawingml/2006/picture">
                <pic:pic xmlns:pic="http://schemas.openxmlformats.org/drawingml/2006/picture">
                  <pic:nvPicPr>
                    <pic:cNvPr id="12698" name="Picture 12698"/>
                    <pic:cNvPicPr/>
                  </pic:nvPicPr>
                  <pic:blipFill>
                    <a:blip r:embed="rId10"/>
                    <a:stretch>
                      <a:fillRect/>
                    </a:stretch>
                  </pic:blipFill>
                  <pic:spPr>
                    <a:xfrm>
                      <a:off x="0" y="0"/>
                      <a:ext cx="5656559" cy="25871"/>
                    </a:xfrm>
                    <a:prstGeom prst="rect">
                      <a:avLst/>
                    </a:prstGeom>
                  </pic:spPr>
                </pic:pic>
              </a:graphicData>
            </a:graphic>
          </wp:inline>
        </w:drawing>
      </w:r>
    </w:p>
    <w:p w14:paraId="27912E9A" w14:textId="77777777" w:rsidR="00F51B79" w:rsidRDefault="00000000">
      <w:pPr>
        <w:tabs>
          <w:tab w:val="center" w:pos="2803"/>
          <w:tab w:val="center" w:pos="7702"/>
        </w:tabs>
        <w:spacing w:after="4" w:line="251" w:lineRule="auto"/>
        <w:rPr>
          <w:rFonts w:hint="eastAsia"/>
        </w:rPr>
      </w:pPr>
      <w:r>
        <w:rPr>
          <w:sz w:val="26"/>
        </w:rPr>
        <w:tab/>
        <w:t>北京中国地质大学教育基金会办公室</w:t>
      </w:r>
      <w:r>
        <w:rPr>
          <w:sz w:val="26"/>
        </w:rPr>
        <w:tab/>
        <w:t>2020年6月9日印</w:t>
      </w:r>
    </w:p>
    <w:p w14:paraId="07B58FEF" w14:textId="77777777" w:rsidR="00F51B79" w:rsidRDefault="00000000">
      <w:pPr>
        <w:spacing w:after="110"/>
        <w:ind w:left="99" w:right="-79"/>
        <w:rPr>
          <w:rFonts w:hint="eastAsia"/>
        </w:rPr>
      </w:pPr>
      <w:r>
        <w:rPr>
          <w:noProof/>
        </w:rPr>
        <mc:AlternateContent>
          <mc:Choice Requires="wpg">
            <w:drawing>
              <wp:inline distT="0" distB="0" distL="0" distR="0" wp14:anchorId="7096FE00" wp14:editId="6B9B3BEF">
                <wp:extent cx="5915356" cy="14784"/>
                <wp:effectExtent l="0" t="0" r="0" b="0"/>
                <wp:docPr id="12701" name="Group 12701"/>
                <wp:cNvGraphicFramePr/>
                <a:graphic xmlns:a="http://schemas.openxmlformats.org/drawingml/2006/main">
                  <a:graphicData uri="http://schemas.microsoft.com/office/word/2010/wordprocessingGroup">
                    <wpg:wgp>
                      <wpg:cNvGrpSpPr/>
                      <wpg:grpSpPr>
                        <a:xfrm>
                          <a:off x="0" y="0"/>
                          <a:ext cx="5915356" cy="14784"/>
                          <a:chOff x="0" y="0"/>
                          <a:chExt cx="5915356" cy="14784"/>
                        </a:xfrm>
                      </wpg:grpSpPr>
                      <wps:wsp>
                        <wps:cNvPr id="12700" name="Shape 12700"/>
                        <wps:cNvSpPr/>
                        <wps:spPr>
                          <a:xfrm>
                            <a:off x="0" y="0"/>
                            <a:ext cx="5915356" cy="14784"/>
                          </a:xfrm>
                          <a:custGeom>
                            <a:avLst/>
                            <a:gdLst/>
                            <a:ahLst/>
                            <a:cxnLst/>
                            <a:rect l="0" t="0" r="0" b="0"/>
                            <a:pathLst>
                              <a:path w="5915356" h="14784">
                                <a:moveTo>
                                  <a:pt x="0" y="7392"/>
                                </a:moveTo>
                                <a:lnTo>
                                  <a:pt x="5915356" y="7392"/>
                                </a:lnTo>
                              </a:path>
                            </a:pathLst>
                          </a:custGeom>
                          <a:ln w="1478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701" style="width:465.776pt;height:1.16412pt;mso-position-horizontal-relative:char;mso-position-vertical-relative:line" coordsize="59153,147">
                <v:shape id="Shape 12700" style="position:absolute;width:59153;height:147;left:0;top:0;" coordsize="5915356,14784" path="m0,7392l5915356,7392">
                  <v:stroke weight="1.16412pt" endcap="flat" joinstyle="miter" miterlimit="1" on="true" color="#000000"/>
                  <v:fill on="false" color="#000000"/>
                </v:shape>
              </v:group>
            </w:pict>
          </mc:Fallback>
        </mc:AlternateContent>
      </w:r>
    </w:p>
    <w:p w14:paraId="5B5F80F7" w14:textId="77777777" w:rsidR="00F51B79" w:rsidRDefault="00000000">
      <w:pPr>
        <w:spacing w:after="0"/>
        <w:ind w:right="287"/>
        <w:jc w:val="right"/>
        <w:rPr>
          <w:rFonts w:hint="eastAsia"/>
        </w:rPr>
      </w:pPr>
      <w:r>
        <w:rPr>
          <w:sz w:val="18"/>
        </w:rPr>
        <w:t>（共印3份）</w:t>
      </w:r>
    </w:p>
    <w:sectPr w:rsidR="00F51B79">
      <w:pgSz w:w="11906" w:h="16838"/>
      <w:pgMar w:top="1535" w:right="1541" w:bottom="1566" w:left="10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B010" w14:textId="77777777" w:rsidR="009D1F6C" w:rsidRDefault="009D1F6C" w:rsidP="00FA1C6D">
      <w:pPr>
        <w:spacing w:after="0" w:line="240" w:lineRule="auto"/>
        <w:rPr>
          <w:rFonts w:hint="eastAsia"/>
        </w:rPr>
      </w:pPr>
      <w:r>
        <w:separator/>
      </w:r>
    </w:p>
  </w:endnote>
  <w:endnote w:type="continuationSeparator" w:id="0">
    <w:p w14:paraId="4D317D80" w14:textId="77777777" w:rsidR="009D1F6C" w:rsidRDefault="009D1F6C" w:rsidP="00FA1C6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F41B" w14:textId="77777777" w:rsidR="009D1F6C" w:rsidRDefault="009D1F6C" w:rsidP="00FA1C6D">
      <w:pPr>
        <w:spacing w:after="0" w:line="240" w:lineRule="auto"/>
        <w:rPr>
          <w:rFonts w:hint="eastAsia"/>
        </w:rPr>
      </w:pPr>
      <w:r>
        <w:separator/>
      </w:r>
    </w:p>
  </w:footnote>
  <w:footnote w:type="continuationSeparator" w:id="0">
    <w:p w14:paraId="0F69A8B3" w14:textId="77777777" w:rsidR="009D1F6C" w:rsidRDefault="009D1F6C" w:rsidP="00FA1C6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B784A"/>
    <w:multiLevelType w:val="hybridMultilevel"/>
    <w:tmpl w:val="15163708"/>
    <w:lvl w:ilvl="0" w:tplc="7D1E8256">
      <w:start w:val="1"/>
      <w:numFmt w:val="ideographDigital"/>
      <w:lvlText w:val="（%1）"/>
      <w:lvlJc w:val="left"/>
      <w:pPr>
        <w:ind w:left="682"/>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1" w:tplc="83CE10CE">
      <w:start w:val="1"/>
      <w:numFmt w:val="lowerLetter"/>
      <w:lvlText w:val="%2"/>
      <w:lvlJc w:val="left"/>
      <w:pPr>
        <w:ind w:left="180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2" w:tplc="01509B98">
      <w:start w:val="1"/>
      <w:numFmt w:val="lowerRoman"/>
      <w:lvlText w:val="%3"/>
      <w:lvlJc w:val="left"/>
      <w:pPr>
        <w:ind w:left="252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3" w:tplc="7F648224">
      <w:start w:val="1"/>
      <w:numFmt w:val="decimal"/>
      <w:lvlText w:val="%4"/>
      <w:lvlJc w:val="left"/>
      <w:pPr>
        <w:ind w:left="324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4" w:tplc="0A885974">
      <w:start w:val="1"/>
      <w:numFmt w:val="lowerLetter"/>
      <w:lvlText w:val="%5"/>
      <w:lvlJc w:val="left"/>
      <w:pPr>
        <w:ind w:left="396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5" w:tplc="3F7E37B0">
      <w:start w:val="1"/>
      <w:numFmt w:val="lowerRoman"/>
      <w:lvlText w:val="%6"/>
      <w:lvlJc w:val="left"/>
      <w:pPr>
        <w:ind w:left="468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6" w:tplc="C7F8264A">
      <w:start w:val="1"/>
      <w:numFmt w:val="decimal"/>
      <w:lvlText w:val="%7"/>
      <w:lvlJc w:val="left"/>
      <w:pPr>
        <w:ind w:left="540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7" w:tplc="5DC81A82">
      <w:start w:val="1"/>
      <w:numFmt w:val="lowerLetter"/>
      <w:lvlText w:val="%8"/>
      <w:lvlJc w:val="left"/>
      <w:pPr>
        <w:ind w:left="612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8" w:tplc="62525A9C">
      <w:start w:val="1"/>
      <w:numFmt w:val="lowerRoman"/>
      <w:lvlText w:val="%9"/>
      <w:lvlJc w:val="left"/>
      <w:pPr>
        <w:ind w:left="684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6819428B"/>
    <w:multiLevelType w:val="hybridMultilevel"/>
    <w:tmpl w:val="4220547C"/>
    <w:lvl w:ilvl="0" w:tplc="77185ADC">
      <w:start w:val="1"/>
      <w:numFmt w:val="ideographDigital"/>
      <w:lvlText w:val="（%1）"/>
      <w:lvlJc w:val="left"/>
      <w:pPr>
        <w:ind w:left="1034"/>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1" w:tplc="41E43A4A">
      <w:start w:val="1"/>
      <w:numFmt w:val="lowerLetter"/>
      <w:lvlText w:val="%2"/>
      <w:lvlJc w:val="left"/>
      <w:pPr>
        <w:ind w:left="1797"/>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2" w:tplc="A8C28D10">
      <w:start w:val="1"/>
      <w:numFmt w:val="lowerRoman"/>
      <w:lvlText w:val="%3"/>
      <w:lvlJc w:val="left"/>
      <w:pPr>
        <w:ind w:left="2517"/>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3" w:tplc="08F61B04">
      <w:start w:val="1"/>
      <w:numFmt w:val="decimal"/>
      <w:lvlText w:val="%4"/>
      <w:lvlJc w:val="left"/>
      <w:pPr>
        <w:ind w:left="3237"/>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4" w:tplc="F0D009FA">
      <w:start w:val="1"/>
      <w:numFmt w:val="lowerLetter"/>
      <w:lvlText w:val="%5"/>
      <w:lvlJc w:val="left"/>
      <w:pPr>
        <w:ind w:left="3957"/>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5" w:tplc="10BC696E">
      <w:start w:val="1"/>
      <w:numFmt w:val="lowerRoman"/>
      <w:lvlText w:val="%6"/>
      <w:lvlJc w:val="left"/>
      <w:pPr>
        <w:ind w:left="4677"/>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6" w:tplc="27901CFE">
      <w:start w:val="1"/>
      <w:numFmt w:val="decimal"/>
      <w:lvlText w:val="%7"/>
      <w:lvlJc w:val="left"/>
      <w:pPr>
        <w:ind w:left="5397"/>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7" w:tplc="B106EAA2">
      <w:start w:val="1"/>
      <w:numFmt w:val="lowerLetter"/>
      <w:lvlText w:val="%8"/>
      <w:lvlJc w:val="left"/>
      <w:pPr>
        <w:ind w:left="6117"/>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lvl w:ilvl="8" w:tplc="EDECF4B8">
      <w:start w:val="1"/>
      <w:numFmt w:val="lowerRoman"/>
      <w:lvlText w:val="%9"/>
      <w:lvlJc w:val="left"/>
      <w:pPr>
        <w:ind w:left="6837"/>
      </w:pPr>
      <w:rPr>
        <w:rFonts w:ascii="微软雅黑" w:eastAsia="微软雅黑" w:hAnsi="微软雅黑" w:cs="微软雅黑"/>
        <w:b w:val="0"/>
        <w:i w:val="0"/>
        <w:strike w:val="0"/>
        <w:dstrike w:val="0"/>
        <w:color w:val="000000"/>
        <w:sz w:val="40"/>
        <w:szCs w:val="40"/>
        <w:u w:val="none" w:color="000000"/>
        <w:bdr w:val="none" w:sz="0" w:space="0" w:color="auto"/>
        <w:shd w:val="clear" w:color="auto" w:fill="auto"/>
        <w:vertAlign w:val="baseline"/>
      </w:rPr>
    </w:lvl>
  </w:abstractNum>
  <w:num w:numId="1" w16cid:durableId="8220968">
    <w:abstractNumId w:val="1"/>
  </w:num>
  <w:num w:numId="2" w16cid:durableId="191720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79"/>
    <w:rsid w:val="009D1F6C"/>
    <w:rsid w:val="00A75AC5"/>
    <w:rsid w:val="00F51B79"/>
    <w:rsid w:val="00FA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1D1D2"/>
  <w15:docId w15:val="{3C1266C6-020B-466E-AFB9-07A42C3D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微软雅黑" w:eastAsia="微软雅黑" w:hAnsi="微软雅黑" w:cs="微软雅黑"/>
      <w:color w:val="000000"/>
    </w:rPr>
  </w:style>
  <w:style w:type="paragraph" w:styleId="1">
    <w:name w:val="heading 1"/>
    <w:next w:val="a"/>
    <w:link w:val="10"/>
    <w:uiPriority w:val="9"/>
    <w:qFormat/>
    <w:pPr>
      <w:keepNext/>
      <w:keepLines/>
      <w:spacing w:after="394" w:line="259" w:lineRule="auto"/>
      <w:ind w:left="170"/>
      <w:jc w:val="center"/>
      <w:outlineLvl w:val="0"/>
    </w:pPr>
    <w:rPr>
      <w:rFonts w:ascii="微软雅黑" w:eastAsia="微软雅黑" w:hAnsi="微软雅黑" w:cs="微软雅黑"/>
      <w:color w:val="000000"/>
      <w:sz w:val="32"/>
    </w:rPr>
  </w:style>
  <w:style w:type="paragraph" w:styleId="2">
    <w:name w:val="heading 2"/>
    <w:next w:val="a"/>
    <w:link w:val="20"/>
    <w:uiPriority w:val="9"/>
    <w:unhideWhenUsed/>
    <w:qFormat/>
    <w:pPr>
      <w:keepNext/>
      <w:keepLines/>
      <w:spacing w:after="0" w:line="259" w:lineRule="auto"/>
      <w:ind w:left="238"/>
      <w:outlineLvl w:val="1"/>
    </w:pPr>
    <w:rPr>
      <w:rFonts w:ascii="微软雅黑" w:eastAsia="微软雅黑" w:hAnsi="微软雅黑" w:cs="微软雅黑"/>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微软雅黑" w:eastAsia="微软雅黑" w:hAnsi="微软雅黑" w:cs="微软雅黑"/>
      <w:color w:val="000000"/>
      <w:sz w:val="28"/>
    </w:rPr>
  </w:style>
  <w:style w:type="character" w:customStyle="1" w:styleId="10">
    <w:name w:val="标题 1 字符"/>
    <w:link w:val="1"/>
    <w:rPr>
      <w:rFonts w:ascii="微软雅黑" w:eastAsia="微软雅黑" w:hAnsi="微软雅黑" w:cs="微软雅黑"/>
      <w:color w:val="000000"/>
      <w:sz w:val="32"/>
    </w:rPr>
  </w:style>
  <w:style w:type="paragraph" w:styleId="a3">
    <w:name w:val="header"/>
    <w:basedOn w:val="a"/>
    <w:link w:val="a4"/>
    <w:uiPriority w:val="99"/>
    <w:unhideWhenUsed/>
    <w:rsid w:val="00FA1C6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FA1C6D"/>
    <w:rPr>
      <w:rFonts w:ascii="微软雅黑" w:eastAsia="微软雅黑" w:hAnsi="微软雅黑" w:cs="微软雅黑"/>
      <w:color w:val="000000"/>
      <w:sz w:val="18"/>
      <w:szCs w:val="18"/>
    </w:rPr>
  </w:style>
  <w:style w:type="paragraph" w:styleId="a5">
    <w:name w:val="footer"/>
    <w:basedOn w:val="a"/>
    <w:link w:val="a6"/>
    <w:uiPriority w:val="99"/>
    <w:unhideWhenUsed/>
    <w:rsid w:val="00FA1C6D"/>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FA1C6D"/>
    <w:rPr>
      <w:rFonts w:ascii="微软雅黑" w:eastAsia="微软雅黑" w:hAnsi="微软雅黑" w:cs="微软雅黑"/>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辰晨</dc:creator>
  <cp:keywords/>
  <cp:lastModifiedBy>River Sheen</cp:lastModifiedBy>
  <cp:revision>2</cp:revision>
  <dcterms:created xsi:type="dcterms:W3CDTF">2025-10-27T08:52:00Z</dcterms:created>
  <dcterms:modified xsi:type="dcterms:W3CDTF">2025-10-27T08:52:00Z</dcterms:modified>
</cp:coreProperties>
</file>