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9FDC">
      <w:pPr>
        <w:pStyle w:val="12"/>
        <w:widowControl/>
        <w:spacing w:line="578" w:lineRule="exact"/>
        <w:ind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03B52A51">
      <w:pPr>
        <w:spacing w:line="560" w:lineRule="exact"/>
        <w:jc w:val="center"/>
        <w:rPr>
          <w:rFonts w:hint="default" w:ascii="Times New Roman" w:hAnsi="Times New Roman" w:eastAsia="方正小标宋_GBK" w:cs="Times New Roman"/>
          <w:kern w:val="0"/>
          <w:sz w:val="44"/>
          <w:szCs w:val="44"/>
          <w:lang w:val="en-US" w:eastAsia="zh-CN"/>
        </w:rPr>
      </w:pPr>
    </w:p>
    <w:p w14:paraId="71CDADBC">
      <w:pPr>
        <w:spacing w:line="56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kern w:val="0"/>
          <w:sz w:val="44"/>
          <w:szCs w:val="44"/>
          <w:lang w:val="en-US" w:eastAsia="zh-CN"/>
        </w:rPr>
        <w:t>企业联合项目研究内容与考核指标</w:t>
      </w:r>
    </w:p>
    <w:p w14:paraId="77AFF884">
      <w:pPr>
        <w:spacing w:line="560" w:lineRule="exact"/>
        <w:ind w:firstLine="640" w:firstLineChars="200"/>
        <w:rPr>
          <w:rFonts w:hint="default" w:ascii="Times New Roman" w:hAnsi="Times New Roman" w:eastAsia="仿宋_GB2312" w:cs="Times New Roman"/>
          <w:b w:val="0"/>
          <w:bCs w:val="0"/>
          <w:sz w:val="32"/>
          <w:szCs w:val="32"/>
          <w:lang w:val="en" w:eastAsia="zh-CN"/>
        </w:rPr>
      </w:pPr>
    </w:p>
    <w:p w14:paraId="3D2CF8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sz w:val="32"/>
          <w:szCs w:val="32"/>
          <w:lang w:val="en"/>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rPr>
        <w:t>敦玉系列玉米品种高质高效种子生产技术研究</w:t>
      </w:r>
    </w:p>
    <w:p w14:paraId="099443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rPr>
        <w:t>企业需求</w:t>
      </w:r>
    </w:p>
    <w:p w14:paraId="5A25AD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海南经济特区敦种作物种子研究院有限公司敦玉系列玉米品种制种生产中存在的亲本提纯、产量提升，高活力种子生产，种子质量精准评价等难题需求和短板，围绕制种生产基地选择、生产加工关键技术攻关、市场推广、栽培技术、营销服务等方面全链条开展“一品一标”高质高产种子生产加工及检验技术攻关研究和示范应用，在公司多品种繁制种的风险管控方面提供咨询和品种制种效益再评价技术指导与服务。</w:t>
      </w:r>
    </w:p>
    <w:p w14:paraId="40DC56F4">
      <w:pPr>
        <w:widowControl/>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rPr>
        <w:t>研究内容</w:t>
      </w:r>
      <w:bookmarkStart w:id="0" w:name="_GoBack"/>
      <w:bookmarkEnd w:id="0"/>
    </w:p>
    <w:p w14:paraId="77AFE9B0">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公司急需提升制种产量的5个品种开展攻关研究，制定高产制种技术标准，力争产量提升10%以上。具体为：敦玉735亩产在200公斤基础上产量提升10%以上，敦玉810亩产380公斤的的基础上产量提升10%以上，敦玉660亩产350公斤的基础上产量提升10%以上。敦玉49、敦玉260在保证现有制种产量的基础上千粒重降低到290-320克。</w:t>
      </w:r>
    </w:p>
    <w:p w14:paraId="141589B1">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开展高活力种子生产技术研发与集成，提供从田间收获到包装贮藏的种子质量控制技术指导与问题攻关，制定攻关品种的高质量活力检验技术标准，确保种子纯度97%以上，发芽率93%以上，活力不低于85%。</w:t>
      </w:r>
    </w:p>
    <w:p w14:paraId="16123537">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企业可以提供的支持：</w:t>
      </w:r>
    </w:p>
    <w:p w14:paraId="5DC7E4A2">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在三亚、张掖、云南等地提供试验所需试验田；</w:t>
      </w:r>
    </w:p>
    <w:p w14:paraId="015655BC">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提供协助试验所需技术人员2人。</w:t>
      </w:r>
    </w:p>
    <w:p w14:paraId="6CD564A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考核指标：</w:t>
      </w:r>
    </w:p>
    <w:p w14:paraId="2D2B2A23">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制定高质高产种子生产操作规程及高活力种子质量检验相关规程5项以上；</w:t>
      </w:r>
    </w:p>
    <w:p w14:paraId="0B7DC25D">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研究内容形成专利、文章或企业标准一项及以上。</w:t>
      </w:r>
    </w:p>
    <w:p w14:paraId="3CFE8FA9">
      <w:pPr>
        <w:pStyle w:val="8"/>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项目时限：</w:t>
      </w:r>
      <w:r>
        <w:rPr>
          <w:rFonts w:hint="default" w:ascii="Times New Roman" w:hAnsi="Times New Roman" w:eastAsia="仿宋_GB2312" w:cs="Times New Roman"/>
          <w:kern w:val="2"/>
          <w:sz w:val="32"/>
          <w:szCs w:val="32"/>
        </w:rPr>
        <w:t>2年</w:t>
      </w:r>
    </w:p>
    <w:p w14:paraId="738E1BB2">
      <w:pPr>
        <w:pStyle w:val="8"/>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其他要求：</w:t>
      </w:r>
    </w:p>
    <w:p w14:paraId="75D7B8C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指导团队应具有成熟高效的玉米种子生产加工技术体系，具有玉米种子活力相关的遗传及分子工作经验，有组培快繁的设备设施条件和技术，有一支稳定从事玉米生物育种的科研队伍，具备满足开展作物转基因和基因编辑育种的实验室、激励政策、试验基地、评价机构等科技活动的系统性支撑条件。</w:t>
      </w:r>
    </w:p>
    <w:p w14:paraId="20EC024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产权归属、利益分配以合同签订内容为准。</w:t>
      </w:r>
    </w:p>
    <w:p w14:paraId="4B1837F3">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二、海南水稻机插缓混一次施肥技术研究</w:t>
      </w:r>
    </w:p>
    <w:p w14:paraId="43A38C1C">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企业需求</w:t>
      </w:r>
    </w:p>
    <w:p w14:paraId="52CE882C">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当前海南稻田多以多次施肥为主，此种施肥模式下生产成本高、技术掌握难度大、机械化程度低，无法实现水稻大规模机械化生产的问题，亟需发展适宜海南稻田生产的水稻机插缓混一次施肥技术，以提高企业节本增效的水稻轻简化栽培水平，对保证当前劳动力短缺、人工成本高现状下的粮食安全及提高企业效益具有重要意义。</w:t>
      </w:r>
    </w:p>
    <w:p w14:paraId="3B0C056C">
      <w:pPr>
        <w:pStyle w:val="2"/>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2"/>
          <w:sz w:val="32"/>
          <w:szCs w:val="32"/>
          <w:lang w:val="en-US" w:eastAsia="zh-CN" w:bidi="ar-SA"/>
        </w:rPr>
        <w:t>（二）</w:t>
      </w:r>
      <w:r>
        <w:rPr>
          <w:rFonts w:hint="default" w:ascii="Times New Roman" w:hAnsi="Times New Roman" w:eastAsia="仿宋_GB2312" w:cs="Times New Roman"/>
          <w:b w:val="0"/>
          <w:bCs w:val="0"/>
          <w:sz w:val="32"/>
          <w:szCs w:val="32"/>
        </w:rPr>
        <w:t>研究内容</w:t>
      </w:r>
    </w:p>
    <w:p w14:paraId="32555E3A">
      <w:pPr>
        <w:pStyle w:val="2"/>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针对海南地区水稻生产过程中肥料施用量大、施肥方式落后、施肥次数多以及养分利用效率低等关键问题，（1）基于高产水稻吸氮规律和各缓控释肥的养分释放特性根据“前期缓释+后期控释”分段精准供肥的设计理论，创制以“大颗粒尿素硫包衣＋树脂包衣”为主体的全生育期供肥的“缓混肥”组配方案，开发适海南地区不同水稻品种和土壤类型的缓混肥及用量；（2）通过农艺农机等关键技术融合，结合机插侧深施肥技术、水分精确灌溉技术和穗肥精确诊断技术，构建适合海南地区的水稻机插缓混一次施肥技术体系。</w:t>
      </w:r>
    </w:p>
    <w:p w14:paraId="02F84DC2">
      <w:pPr>
        <w:pStyle w:val="2"/>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sz w:val="32"/>
          <w:szCs w:val="32"/>
        </w:rPr>
        <w:t>企业可以提供的支持</w:t>
      </w:r>
    </w:p>
    <w:p w14:paraId="62991B6B">
      <w:pPr>
        <w:pStyle w:val="2"/>
        <w:keepNext w:val="0"/>
        <w:keepLines w:val="0"/>
        <w:pageBreakBefore w:val="0"/>
        <w:numPr>
          <w:ilvl w:val="0"/>
          <w:numId w:val="0"/>
        </w:numPr>
        <w:kinsoku/>
        <w:wordWrap/>
        <w:overflowPunct/>
        <w:topLinePunct w:val="0"/>
        <w:autoSpaceDE/>
        <w:autoSpaceDN/>
        <w:bidi w:val="0"/>
        <w:adjustRightInd/>
        <w:snapToGrid/>
        <w:spacing w:line="578" w:lineRule="exact"/>
        <w:ind w:leftChars="200" w:firstLine="32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提供资金，提供试验地。</w:t>
      </w:r>
    </w:p>
    <w:p w14:paraId="3B11E2B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考核指标：</w:t>
      </w:r>
    </w:p>
    <w:p w14:paraId="3B9B2EB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在本领域国内外重要期刊发表学术论文1篇；申请国内发明专利1项；</w:t>
      </w:r>
    </w:p>
    <w:p w14:paraId="26A6375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筛选适宜海南水稻专用缓混肥配方2个；</w:t>
      </w:r>
    </w:p>
    <w:p w14:paraId="153F6EF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适宜海南当地的机插缓混一次施肥技术模式1套。</w:t>
      </w:r>
    </w:p>
    <w:p w14:paraId="30E6E59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五</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拟补助金额：</w:t>
      </w:r>
      <w:r>
        <w:rPr>
          <w:rFonts w:hint="default" w:ascii="Times New Roman" w:hAnsi="Times New Roman" w:eastAsia="仿宋_GB2312" w:cs="Times New Roman"/>
          <w:sz w:val="32"/>
          <w:szCs w:val="32"/>
          <w:highlight w:val="none"/>
        </w:rPr>
        <w:t>5万元</w:t>
      </w:r>
    </w:p>
    <w:p w14:paraId="0E3C885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项目时限：</w:t>
      </w:r>
      <w:r>
        <w:rPr>
          <w:rFonts w:hint="default" w:ascii="Times New Roman" w:hAnsi="Times New Roman" w:eastAsia="仿宋_GB2312" w:cs="Times New Roman"/>
          <w:sz w:val="32"/>
          <w:szCs w:val="32"/>
        </w:rPr>
        <w:t>2年</w:t>
      </w:r>
    </w:p>
    <w:p w14:paraId="6193165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其他要求</w:t>
      </w:r>
    </w:p>
    <w:p w14:paraId="11958AA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具有水稻生理生态实验及田间生产的经验，有一支稳定从事水稻轻简高效栽培的科研队伍，具备满足开展室内试验实验室、激励政策、试验基地、评价机构等科技活动的系统性支撑条件</w:t>
      </w:r>
      <w:r>
        <w:rPr>
          <w:rFonts w:hint="default" w:ascii="Times New Roman" w:hAnsi="Times New Roman" w:eastAsia="仿宋_GB2312" w:cs="Times New Roman"/>
          <w:sz w:val="32"/>
          <w:szCs w:val="32"/>
          <w:lang w:eastAsia="zh-CN"/>
        </w:rPr>
        <w:t>；</w:t>
      </w:r>
    </w:p>
    <w:p w14:paraId="6F68A96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产权归属、利益分配以合同签订内容为准</w:t>
      </w:r>
      <w:r>
        <w:rPr>
          <w:rFonts w:hint="default" w:ascii="Times New Roman" w:hAnsi="Times New Roman" w:eastAsia="仿宋_GB2312" w:cs="Times New Roman"/>
          <w:sz w:val="32"/>
          <w:szCs w:val="32"/>
          <w:lang w:eastAsia="zh-CN"/>
        </w:rPr>
        <w:t>。</w:t>
      </w:r>
    </w:p>
    <w:p w14:paraId="40D84650">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三、播期对海南水稻生育期及群体构建研究</w:t>
      </w:r>
    </w:p>
    <w:p w14:paraId="4C8EEB16">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eastAsia="zh-CN"/>
        </w:rPr>
        <w:t>）企业需求</w:t>
      </w:r>
    </w:p>
    <w:p w14:paraId="33388CC8">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海南地处热带，有充足的温光资源，能实现一年多熟。灌浆期的温光条件对水稻产量和品质形成至关重要，当前水稻产量和品质形成的关键温度、光照以及其他气象条件尚未可知，亟需明确海南地区水稻播期的关键时间节点，以实现水稻产量和稻米品质的协同提升。</w:t>
      </w:r>
    </w:p>
    <w:p w14:paraId="391AA65A">
      <w:pPr>
        <w:pStyle w:val="2"/>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kern w:val="2"/>
          <w:sz w:val="32"/>
          <w:szCs w:val="32"/>
          <w:lang w:val="en-US" w:eastAsia="zh-CN" w:bidi="ar-SA"/>
        </w:rPr>
        <w:t>（二）</w:t>
      </w:r>
      <w:r>
        <w:rPr>
          <w:rFonts w:hint="default" w:ascii="Times New Roman" w:hAnsi="Times New Roman" w:eastAsia="仿宋_GB2312" w:cs="Times New Roman"/>
          <w:b w:val="0"/>
          <w:bCs w:val="0"/>
          <w:sz w:val="32"/>
          <w:szCs w:val="32"/>
          <w:lang w:eastAsia="zh-CN"/>
        </w:rPr>
        <w:t>研究内容</w:t>
      </w:r>
    </w:p>
    <w:p w14:paraId="424143EC">
      <w:pPr>
        <w:pStyle w:val="2"/>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过海南光热资源特征研究和历年水稻生育特性、产量形成分析，探究海南水稻高产挖潜温光资源配置机制。通过播期试验验证，明确海南地区水稻产量和品质形成的最适宜温光条件，并调查叶龄和伸长节间数，明确其在海南的叶龄动态发生规律，构建热带地区水稻叶龄模式， 探究其生育期变化及对群体生长的影响，为海南地区水稻优质高产栽培播期选择提供依据。</w:t>
      </w:r>
    </w:p>
    <w:p w14:paraId="1FDFF7D4">
      <w:pPr>
        <w:pStyle w:val="2"/>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sz w:val="32"/>
          <w:szCs w:val="32"/>
          <w:lang w:eastAsia="zh-CN"/>
        </w:rPr>
        <w:t>企业可以提供的支持</w:t>
      </w:r>
    </w:p>
    <w:p w14:paraId="7818FCC8">
      <w:pPr>
        <w:pStyle w:val="2"/>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提供资金、提供试验所需要的试验田。</w:t>
      </w:r>
    </w:p>
    <w:p w14:paraId="273320C1">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eastAsia="zh-CN"/>
        </w:rPr>
        <w:t>）考核指标：</w:t>
      </w:r>
    </w:p>
    <w:p w14:paraId="786E3E48">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筛选适宜海南当地高产优质水稻形成的播期2个；</w:t>
      </w:r>
    </w:p>
    <w:p w14:paraId="1F0420B4">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在本领域国内外重要期刊发表学术论文或申请国内发明专利2项及以上。</w:t>
      </w:r>
    </w:p>
    <w:p w14:paraId="3AEDBB5B">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eastAsia="zh-CN"/>
        </w:rPr>
        <w:t>）拟补助金额：</w:t>
      </w:r>
      <w:r>
        <w:rPr>
          <w:rFonts w:hint="default" w:ascii="Times New Roman" w:hAnsi="Times New Roman" w:eastAsia="仿宋_GB2312" w:cs="Times New Roman"/>
          <w:sz w:val="32"/>
          <w:szCs w:val="32"/>
          <w:lang w:eastAsia="zh-CN"/>
        </w:rPr>
        <w:t>5万元</w:t>
      </w:r>
    </w:p>
    <w:p w14:paraId="5C605017">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lang w:eastAsia="zh-CN"/>
        </w:rPr>
        <w:t>）项目时限：</w:t>
      </w:r>
      <w:r>
        <w:rPr>
          <w:rFonts w:hint="default" w:ascii="Times New Roman" w:hAnsi="Times New Roman" w:eastAsia="仿宋_GB2312" w:cs="Times New Roman"/>
          <w:sz w:val="32"/>
          <w:szCs w:val="32"/>
          <w:lang w:eastAsia="zh-CN"/>
        </w:rPr>
        <w:t>2年</w:t>
      </w:r>
    </w:p>
    <w:p w14:paraId="27BBF251">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七</w:t>
      </w:r>
      <w:r>
        <w:rPr>
          <w:rFonts w:hint="default" w:ascii="Times New Roman" w:hAnsi="Times New Roman" w:eastAsia="仿宋_GB2312" w:cs="Times New Roman"/>
          <w:b w:val="0"/>
          <w:bCs w:val="0"/>
          <w:sz w:val="32"/>
          <w:szCs w:val="32"/>
          <w:lang w:eastAsia="zh-CN"/>
        </w:rPr>
        <w:t>）其他要求：</w:t>
      </w:r>
    </w:p>
    <w:p w14:paraId="33BB402C">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具有水稻生理生态实验及田间生产的经验，有一支稳定从事水稻轻简高效栽培的科研队伍，具备满足开展室内试验实验室、激励政策、试验基地、评价机构等科技活动的系统性支撑条件。</w:t>
      </w:r>
    </w:p>
    <w:p w14:paraId="17D07FCF">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产权归属、利益分配以合同签订内容为准。</w:t>
      </w:r>
    </w:p>
    <w:p w14:paraId="437BEA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四、优质高产山兰旱稻新品种培育及产业化研究</w:t>
      </w:r>
    </w:p>
    <w:p w14:paraId="64760D0D">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研究内容：</w:t>
      </w:r>
      <w:r>
        <w:rPr>
          <w:rFonts w:hint="default" w:ascii="Times New Roman" w:hAnsi="Times New Roman" w:eastAsia="仿宋_GB2312" w:cs="Times New Roman"/>
          <w:b w:val="0"/>
          <w:bCs w:val="0"/>
          <w:color w:val="auto"/>
          <w:sz w:val="32"/>
          <w:szCs w:val="32"/>
          <w:lang w:val="en-US" w:eastAsia="zh-CN"/>
        </w:rPr>
        <w:t>针对海南省山兰旱稻产量低的现状，研究培育优质高产新品种（系），建立新品种生产示范基地，推动新品种产业化应用。</w:t>
      </w:r>
    </w:p>
    <w:p w14:paraId="78176CA2">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考核指标：</w:t>
      </w:r>
    </w:p>
    <w:p w14:paraId="17641103">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1.培育出一批山兰旱稻优良新品种；</w:t>
      </w:r>
    </w:p>
    <w:p w14:paraId="791C21BF">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2.建立山兰旱稻种植技术规程。</w:t>
      </w:r>
    </w:p>
    <w:p w14:paraId="3AD02514">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项目时限：</w:t>
      </w:r>
      <w:r>
        <w:rPr>
          <w:rFonts w:hint="default" w:ascii="Times New Roman" w:hAnsi="Times New Roman" w:eastAsia="仿宋_GB2312" w:cs="Times New Roman"/>
          <w:b w:val="0"/>
          <w:bCs w:val="0"/>
          <w:color w:val="auto"/>
          <w:sz w:val="32"/>
          <w:szCs w:val="32"/>
          <w:lang w:val="en-US" w:eastAsia="zh-CN"/>
        </w:rPr>
        <w:t>2年</w:t>
      </w:r>
    </w:p>
    <w:p w14:paraId="6A1D24E2">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（四）其他</w:t>
      </w:r>
      <w:r>
        <w:rPr>
          <w:rFonts w:hint="default" w:ascii="Times New Roman" w:hAnsi="Times New Roman" w:eastAsia="仿宋_GB2312" w:cs="Times New Roman"/>
          <w:b w:val="0"/>
          <w:bCs w:val="0"/>
          <w:color w:val="auto"/>
          <w:sz w:val="32"/>
          <w:szCs w:val="32"/>
        </w:rPr>
        <w:t>要求</w:t>
      </w:r>
    </w:p>
    <w:p w14:paraId="2D757F87">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产权归属、利益分配以合同签订内容为准。</w:t>
      </w:r>
    </w:p>
    <w:p w14:paraId="5EE924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五、嘉宝果新品种培育研究及产业化推广应用</w:t>
      </w:r>
    </w:p>
    <w:p w14:paraId="347375E5">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研究内容</w:t>
      </w:r>
    </w:p>
    <w:p w14:paraId="3D9AC66E">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针对海南省嘉宝果5-9月份受高温、多雨、台风等自然因素影响不能挂果的现状，以及嘉宝果种植收获期年限较长、鲜果存放期较短的性质，在海南岛研究培育出可以四季挂果、种植收获期缩短、鲜果便于存储的优质新品种，建立新品种生产示范基地，推动新品种产业化应用。</w:t>
      </w:r>
    </w:p>
    <w:p w14:paraId="1A3F11B3">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考核指标</w:t>
      </w:r>
    </w:p>
    <w:p w14:paraId="186646AC">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1.培育出嘉宝果优良新树种；</w:t>
      </w:r>
    </w:p>
    <w:p w14:paraId="57506F2D">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2.建立嘉宝果种植技术规程。</w:t>
      </w:r>
    </w:p>
    <w:p w14:paraId="11549AA6">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项目时限：</w:t>
      </w:r>
      <w:r>
        <w:rPr>
          <w:rFonts w:hint="default" w:ascii="Times New Roman" w:hAnsi="Times New Roman" w:eastAsia="仿宋_GB2312" w:cs="Times New Roman"/>
          <w:b w:val="0"/>
          <w:bCs w:val="0"/>
          <w:color w:val="auto"/>
          <w:sz w:val="32"/>
          <w:szCs w:val="32"/>
          <w:lang w:val="en-US" w:eastAsia="zh-CN"/>
        </w:rPr>
        <w:t>2年</w:t>
      </w:r>
    </w:p>
    <w:p w14:paraId="1E7BDEC5">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（四）其他</w:t>
      </w:r>
      <w:r>
        <w:rPr>
          <w:rFonts w:hint="default" w:ascii="Times New Roman" w:hAnsi="Times New Roman" w:eastAsia="仿宋_GB2312" w:cs="Times New Roman"/>
          <w:b w:val="0"/>
          <w:bCs w:val="0"/>
          <w:color w:val="auto"/>
          <w:sz w:val="32"/>
          <w:szCs w:val="32"/>
        </w:rPr>
        <w:t>要求</w:t>
      </w:r>
    </w:p>
    <w:p w14:paraId="157987A5">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sz w:val="32"/>
          <w:szCs w:val="32"/>
        </w:rPr>
        <w:t>产权归属、利益分配以合同签订内容为准。</w:t>
      </w:r>
    </w:p>
    <w:p w14:paraId="2859F8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六、嘉宝果在生物健康产业方向的研究与转化</w:t>
      </w:r>
    </w:p>
    <w:p w14:paraId="50586DC7">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研究内容：</w:t>
      </w:r>
      <w:r>
        <w:rPr>
          <w:rFonts w:hint="default" w:ascii="Times New Roman" w:hAnsi="Times New Roman" w:eastAsia="仿宋_GB2312" w:cs="Times New Roman"/>
          <w:b w:val="0"/>
          <w:bCs w:val="0"/>
          <w:color w:val="auto"/>
          <w:sz w:val="32"/>
          <w:szCs w:val="32"/>
          <w:lang w:val="en-US" w:eastAsia="zh-CN"/>
        </w:rPr>
        <w:t>嘉宝果是集美容、保健、药用为一体的特种水果，嘉宝果的果肉、果核、茎叶含有丰富的营养物质以及丰富的酚类活性成分，希望通过进一步研究，获取嘉宝果在生物健康领域的新发现新成果。</w:t>
      </w:r>
    </w:p>
    <w:p w14:paraId="4424C782">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考核指标：</w:t>
      </w:r>
    </w:p>
    <w:p w14:paraId="2D9A16DE">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1.发现嘉宝果在生物及健康领域的新成果；</w:t>
      </w:r>
    </w:p>
    <w:p w14:paraId="2D5B49D9">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2.新成果的转化落地。</w:t>
      </w:r>
    </w:p>
    <w:p w14:paraId="09C72182">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项目时限：</w:t>
      </w:r>
      <w:r>
        <w:rPr>
          <w:rFonts w:hint="default" w:ascii="Times New Roman" w:hAnsi="Times New Roman" w:eastAsia="仿宋_GB2312" w:cs="Times New Roman"/>
          <w:b w:val="0"/>
          <w:bCs w:val="0"/>
          <w:color w:val="auto"/>
          <w:sz w:val="32"/>
          <w:szCs w:val="32"/>
          <w:lang w:val="en-US" w:eastAsia="zh-CN"/>
        </w:rPr>
        <w:t>2年</w:t>
      </w:r>
    </w:p>
    <w:p w14:paraId="2C4C6119">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（四）其他</w:t>
      </w:r>
      <w:r>
        <w:rPr>
          <w:rFonts w:hint="default" w:ascii="Times New Roman" w:hAnsi="Times New Roman" w:eastAsia="仿宋_GB2312" w:cs="Times New Roman"/>
          <w:b w:val="0"/>
          <w:bCs w:val="0"/>
          <w:color w:val="auto"/>
          <w:sz w:val="32"/>
          <w:szCs w:val="32"/>
        </w:rPr>
        <w:t>要求</w:t>
      </w:r>
    </w:p>
    <w:p w14:paraId="3B7F3F83">
      <w:pPr>
        <w:pStyle w:val="8"/>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产权归属、利益分配以合同签订内容为准。</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0628">
    <w:pPr>
      <w:pStyle w:val="6"/>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7390130</wp:posOffset>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B0D8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581.9pt;margin-top:-6.75pt;height:144pt;width:144pt;mso-position-horizontal-relative:margin;mso-wrap-style:none;z-index:251659264;mso-width-relative:page;mso-height-relative:page;" filled="f" stroked="f" coordsize="21600,21600" o:gfxdata="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zlNPZAAAADQEAAA8AAAAAAAAAAQAgAAAAIgAAAGRycy9k&#10;b3ducmV2LnhtbFBLAQIUABQAAAAIAIdO4kDkov7PyAEAAJkDAAAOAAAAAAAAAAEAIAAAACgBAABk&#10;cnMvZTJvRG9jLnhtbFBLBQYAAAAABgAGAFkBAABiBQAAAAA=&#10;">
              <v:fill on="f" focussize="0,0"/>
              <v:stroke on="f"/>
              <v:imagedata o:title=""/>
              <o:lock v:ext="edit" aspectratio="f"/>
              <v:textbox inset="0mm,0mm,0mm,0mm" style="mso-fit-shape-to-text:t;">
                <w:txbxContent>
                  <w:p w14:paraId="715B0D8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D9D6">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zhkNWE4OTkxYzA3MzgzNTE2YTZjNGQ0NDVlZmQifQ=="/>
  </w:docVars>
  <w:rsids>
    <w:rsidRoot w:val="39073A86"/>
    <w:rsid w:val="3726702A"/>
    <w:rsid w:val="39073A86"/>
    <w:rsid w:val="4D3E2BE9"/>
    <w:rsid w:val="7580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7"/>
    <w:basedOn w:val="1"/>
    <w:next w:val="1"/>
    <w:qFormat/>
    <w:uiPriority w:val="0"/>
    <w:pPr>
      <w:ind w:left="2520" w:leftChars="1200"/>
    </w:pPr>
  </w:style>
  <w:style w:type="paragraph" w:styleId="3">
    <w:name w:val="Normal Indent"/>
    <w:basedOn w:val="1"/>
    <w:next w:val="1"/>
    <w:unhideWhenUsed/>
    <w:qFormat/>
    <w:uiPriority w:val="99"/>
    <w:rPr>
      <w:rFonts w:eastAsia="楷体_GB2312"/>
      <w:sz w:val="32"/>
    </w:rPr>
  </w:style>
  <w:style w:type="paragraph" w:styleId="4">
    <w:name w:val="Body Text Indent"/>
    <w:basedOn w:val="1"/>
    <w:unhideWhenUsed/>
    <w:qFormat/>
    <w:uiPriority w:val="99"/>
    <w:pPr>
      <w:ind w:firstLine="630"/>
    </w:pPr>
    <w:rPr>
      <w:rFonts w:ascii="仿宋_GB2312" w:eastAsia="仿宋_GB2312"/>
      <w:sz w:val="32"/>
    </w:rPr>
  </w:style>
  <w:style w:type="paragraph" w:styleId="5">
    <w:name w:val="Plain Text"/>
    <w:basedOn w:val="1"/>
    <w:qFormat/>
    <w:uiPriority w:val="0"/>
    <w:rPr>
      <w:rFonts w:ascii="宋体" w:hAnsi="Courier New" w:eastAsia="宋体" w:cs="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4"/>
    <w:next w:val="1"/>
    <w:qFormat/>
    <w:uiPriority w:val="0"/>
    <w:pPr>
      <w:ind w:firstLine="420" w:firstLineChars="200"/>
    </w:p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paragraph" w:customStyle="1" w:styleId="14">
    <w:name w:val="列出段落1"/>
    <w:basedOn w:val="1"/>
    <w:qFormat/>
    <w:uiPriority w:val="34"/>
    <w:pPr>
      <w:spacing w:before="100" w:beforeAutospacing="1" w:after="100" w:afterAutospacing="1"/>
      <w:ind w:firstLine="420" w:firstLineChars="200"/>
    </w:pPr>
    <w:rPr>
      <w:rFonts w:ascii="宋体"/>
      <w:bCs/>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2502</Words>
  <Characters>2562</Characters>
  <Lines>0</Lines>
  <Paragraphs>0</Paragraphs>
  <TotalTime>7</TotalTime>
  <ScaleCrop>false</ScaleCrop>
  <LinksUpToDate>false</LinksUpToDate>
  <CharactersWithSpaces>2563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2024-10-15T09:32:00Z</dcterms:created>
  <dc:creator>黄贻翔</dc:creator>
  <cp:lastModifiedBy>Jingyu FU</cp:lastModifiedBy>
  <dcterms:modified xsi:type="dcterms:W3CDTF">2024-10-24T01:44:44Z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F867ABD9183C47B496714D296C7ED41A_11</vt:lpwstr>
  </property>
</Properties>
</file>