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附件1：</w:t>
      </w:r>
    </w:p>
    <w:p>
      <w:pPr>
        <w:spacing w:before="312" w:beforeLines="100" w:after="312" w:afterLines="100"/>
        <w:jc w:val="center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中央高校改善基本办学条件专项资金</w:t>
      </w:r>
    </w:p>
    <w:p>
      <w:pPr>
        <w:spacing w:before="312" w:beforeLines="100" w:after="312" w:afterLines="100"/>
        <w:jc w:val="center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子 活 动 申 报 书</w:t>
      </w:r>
    </w:p>
    <w:p>
      <w:pPr>
        <w:rPr>
          <w:rFonts w:ascii="仿宋_GB2312" w:hAnsi="宋体" w:eastAsia="仿宋_GB2312"/>
          <w:sz w:val="32"/>
          <w:szCs w:val="32"/>
        </w:rPr>
      </w:pPr>
    </w:p>
    <w:p>
      <w:pPr>
        <w:rPr>
          <w:rFonts w:ascii="仿宋_GB2312" w:hAnsi="宋体" w:eastAsia="仿宋_GB2312"/>
          <w:sz w:val="32"/>
          <w:szCs w:val="32"/>
        </w:rPr>
      </w:pPr>
    </w:p>
    <w:p>
      <w:pPr>
        <w:rPr>
          <w:rFonts w:ascii="仿宋_GB2312" w:hAnsi="宋体" w:eastAsia="仿宋_GB2312"/>
          <w:sz w:val="32"/>
          <w:szCs w:val="32"/>
        </w:rPr>
      </w:pPr>
    </w:p>
    <w:p>
      <w:pPr>
        <w:rPr>
          <w:rFonts w:ascii="仿宋_GB2312" w:hAnsi="宋体" w:eastAsia="仿宋_GB2312"/>
          <w:sz w:val="32"/>
          <w:szCs w:val="32"/>
        </w:rPr>
      </w:pPr>
    </w:p>
    <w:p>
      <w:pPr>
        <w:rPr>
          <w:rFonts w:ascii="仿宋_GB2312" w:hAnsi="宋体" w:eastAsia="仿宋_GB2312"/>
          <w:sz w:val="32"/>
          <w:szCs w:val="32"/>
        </w:rPr>
      </w:pPr>
    </w:p>
    <w:p>
      <w:pPr>
        <w:rPr>
          <w:rFonts w:ascii="仿宋_GB2312" w:hAnsi="宋体" w:eastAsia="仿宋_GB2312"/>
          <w:sz w:val="32"/>
          <w:szCs w:val="32"/>
        </w:rPr>
      </w:pPr>
    </w:p>
    <w:p>
      <w:pPr>
        <w:rPr>
          <w:rFonts w:ascii="仿宋_GB2312" w:hAnsi="宋体" w:eastAsia="仿宋_GB2312"/>
          <w:sz w:val="32"/>
          <w:szCs w:val="32"/>
        </w:rPr>
      </w:pPr>
    </w:p>
    <w:p>
      <w:pPr>
        <w:ind w:firstLine="1600" w:firstLineChars="5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子活动名称：</w:t>
      </w:r>
    </w:p>
    <w:p>
      <w:pPr>
        <w:ind w:firstLine="1600" w:firstLineChars="500"/>
        <w:rPr>
          <w:rFonts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</w:rPr>
        <w:t>项目</w:t>
      </w:r>
      <w:r>
        <w:rPr>
          <w:rFonts w:ascii="仿宋_GB2312" w:hAnsi="宋体" w:eastAsia="仿宋_GB2312"/>
          <w:sz w:val="32"/>
          <w:szCs w:val="32"/>
        </w:rPr>
        <w:t>名称：</w:t>
      </w:r>
    </w:p>
    <w:p>
      <w:pPr>
        <w:ind w:firstLine="1600" w:firstLineChars="500"/>
        <w:rPr>
          <w:rFonts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</w:rPr>
        <w:t>项目单位：中国地质大学（北京）</w:t>
      </w:r>
    </w:p>
    <w:p>
      <w:pPr>
        <w:ind w:firstLine="1600" w:firstLineChars="5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主管部门：教育部</w:t>
      </w:r>
    </w:p>
    <w:p>
      <w:pPr>
        <w:ind w:firstLine="1600" w:firstLineChars="5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申报日期：  年  月  日   </w:t>
      </w:r>
    </w:p>
    <w:p>
      <w:pPr>
        <w:rPr>
          <w:rFonts w:ascii="仿宋_GB2312" w:hAnsi="宋体" w:eastAsia="仿宋_GB2312"/>
          <w:sz w:val="32"/>
          <w:szCs w:val="32"/>
        </w:rPr>
      </w:pPr>
    </w:p>
    <w:p>
      <w:pPr>
        <w:rPr>
          <w:rFonts w:ascii="仿宋_GB2312" w:hAnsi="宋体" w:eastAsia="仿宋_GB2312"/>
          <w:sz w:val="32"/>
          <w:szCs w:val="32"/>
        </w:rPr>
      </w:pPr>
    </w:p>
    <w:p>
      <w:pPr>
        <w:rPr>
          <w:rFonts w:ascii="仿宋_GB2312" w:hAnsi="宋体" w:eastAsia="仿宋_GB2312"/>
          <w:sz w:val="32"/>
          <w:szCs w:val="32"/>
        </w:rPr>
      </w:pPr>
    </w:p>
    <w:p>
      <w:pPr>
        <w:jc w:val="center"/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32"/>
          <w:szCs w:val="32"/>
        </w:rPr>
        <w:br w:type="page"/>
      </w:r>
      <w:r>
        <w:rPr>
          <w:rFonts w:hint="eastAsia" w:ascii="仿宋_GB2312" w:hAnsi="宋体" w:eastAsia="仿宋_GB2312"/>
          <w:b/>
          <w:sz w:val="28"/>
          <w:szCs w:val="28"/>
        </w:rPr>
        <w:t>子 活 动 申 报 书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5"/>
        <w:gridCol w:w="1854"/>
        <w:gridCol w:w="2112"/>
        <w:gridCol w:w="2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855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子活动名称</w:t>
            </w:r>
          </w:p>
        </w:tc>
        <w:tc>
          <w:tcPr>
            <w:tcW w:w="6667" w:type="dxa"/>
            <w:gridSpan w:val="3"/>
            <w:vAlign w:val="center"/>
          </w:tcPr>
          <w:p>
            <w:pPr>
              <w:rPr>
                <w:rFonts w:ascii="宋体" w:hAnsi="宋体" w:eastAsia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855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子活动代码</w:t>
            </w:r>
          </w:p>
        </w:tc>
        <w:tc>
          <w:tcPr>
            <w:tcW w:w="6667" w:type="dxa"/>
            <w:gridSpan w:val="3"/>
            <w:vAlign w:val="center"/>
          </w:tcPr>
          <w:p>
            <w:pPr>
              <w:rPr>
                <w:rFonts w:ascii="宋体" w:hAnsi="宋体" w:eastAsia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Cs w:val="21"/>
              </w:rPr>
              <w:t>财务处填写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855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项目编码</w:t>
            </w:r>
          </w:p>
        </w:tc>
        <w:tc>
          <w:tcPr>
            <w:tcW w:w="6667" w:type="dxa"/>
            <w:gridSpan w:val="3"/>
            <w:vAlign w:val="center"/>
          </w:tcPr>
          <w:p>
            <w:pPr>
              <w:rPr>
                <w:rFonts w:ascii="宋体" w:hAnsi="宋体" w:eastAsia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Cs w:val="21"/>
              </w:rPr>
              <w:t>财务处填写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855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实施地址</w:t>
            </w:r>
          </w:p>
        </w:tc>
        <w:tc>
          <w:tcPr>
            <w:tcW w:w="6667" w:type="dxa"/>
            <w:gridSpan w:val="3"/>
            <w:vAlign w:val="center"/>
          </w:tcPr>
          <w:p>
            <w:pPr>
              <w:rPr>
                <w:rFonts w:ascii="宋体" w:hAnsi="宋体" w:eastAsia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855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负责人姓名</w:t>
            </w:r>
          </w:p>
        </w:tc>
        <w:tc>
          <w:tcPr>
            <w:tcW w:w="1854" w:type="dxa"/>
            <w:vAlign w:val="center"/>
          </w:tcPr>
          <w:p>
            <w:pPr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2112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负责人电话</w:t>
            </w:r>
          </w:p>
        </w:tc>
        <w:tc>
          <w:tcPr>
            <w:tcW w:w="2701" w:type="dxa"/>
            <w:vAlign w:val="center"/>
          </w:tcPr>
          <w:p>
            <w:pPr>
              <w:rPr>
                <w:rFonts w:ascii="宋体" w:hAnsi="宋体" w:eastAsia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855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项目名称</w:t>
            </w:r>
          </w:p>
        </w:tc>
        <w:tc>
          <w:tcPr>
            <w:tcW w:w="6667" w:type="dxa"/>
            <w:gridSpan w:val="3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选择</w:t>
            </w:r>
            <w:r>
              <w:rPr>
                <w:rFonts w:ascii="宋体" w:hAnsi="宋体" w:eastAsia="宋体"/>
                <w:szCs w:val="21"/>
              </w:rPr>
              <w:t>：</w:t>
            </w:r>
            <w:r>
              <w:rPr>
                <w:rFonts w:hint="eastAsia" w:ascii="宋体" w:hAnsi="宋体" w:eastAsia="宋体"/>
                <w:szCs w:val="21"/>
              </w:rPr>
              <w:t>四</w:t>
            </w:r>
            <w:r>
              <w:rPr>
                <w:rFonts w:ascii="宋体" w:hAnsi="宋体" w:eastAsia="宋体"/>
                <w:szCs w:val="21"/>
              </w:rPr>
              <w:t>个项目中的一个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85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子</w:t>
            </w:r>
            <w:r>
              <w:rPr>
                <w:rFonts w:ascii="宋体" w:hAnsi="宋体" w:eastAsia="宋体"/>
                <w:szCs w:val="21"/>
              </w:rPr>
              <w:t>活动</w:t>
            </w:r>
            <w:r>
              <w:rPr>
                <w:rFonts w:hint="eastAsia" w:ascii="宋体" w:hAnsi="宋体" w:eastAsia="宋体"/>
                <w:szCs w:val="21"/>
              </w:rPr>
              <w:t>类别</w:t>
            </w:r>
          </w:p>
        </w:tc>
        <w:tc>
          <w:tcPr>
            <w:tcW w:w="6667" w:type="dxa"/>
            <w:gridSpan w:val="3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1.安防</w:t>
            </w:r>
            <w:r>
              <w:rPr>
                <w:rFonts w:hint="eastAsia" w:ascii="宋体" w:hAnsi="宋体" w:eastAsia="宋体"/>
                <w:szCs w:val="21"/>
              </w:rPr>
              <w:sym w:font="Wingdings 2" w:char="00A3"/>
            </w:r>
            <w:r>
              <w:rPr>
                <w:rFonts w:hint="eastAsia" w:ascii="宋体" w:hAnsi="宋体" w:eastAsia="宋体"/>
                <w:szCs w:val="21"/>
              </w:rPr>
              <w:t xml:space="preserve">        2.消防□      3.防雷□     4.教室修缮□ 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5.学生宿舍修缮□     6.食堂修缮□          7.图书馆修缮□   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8.体育馆修缮□       9.地下管网综合改造□  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10.校园艺术演出场地修缮及相关设备购置□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11.古建修缮□        12.电力增容□         13.供暖锅炉改造□ 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14.校园信息化建设□  15.教学实验室改造□   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16.教学实验室设备购置□                    17.其他□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exact"/>
        </w:trPr>
        <w:tc>
          <w:tcPr>
            <w:tcW w:w="185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子活动描述</w:t>
            </w:r>
          </w:p>
        </w:tc>
        <w:tc>
          <w:tcPr>
            <w:tcW w:w="6667" w:type="dxa"/>
            <w:gridSpan w:val="3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（对</w:t>
            </w:r>
            <w:r>
              <w:rPr>
                <w:rFonts w:ascii="宋体" w:hAnsi="宋体" w:eastAsia="宋体"/>
                <w:szCs w:val="21"/>
              </w:rPr>
              <w:t>子活动</w:t>
            </w:r>
            <w:r>
              <w:rPr>
                <w:rFonts w:hint="eastAsia" w:ascii="宋体" w:hAnsi="宋体" w:eastAsia="宋体"/>
                <w:szCs w:val="21"/>
              </w:rPr>
              <w:t>进行</w:t>
            </w:r>
            <w:r>
              <w:rPr>
                <w:rFonts w:ascii="宋体" w:hAnsi="宋体" w:eastAsia="宋体"/>
                <w:szCs w:val="21"/>
              </w:rPr>
              <w:t>总体描述</w:t>
            </w:r>
            <w:r>
              <w:rPr>
                <w:rFonts w:hint="eastAsia" w:ascii="宋体" w:hAnsi="宋体" w:eastAsia="宋体"/>
                <w:szCs w:val="21"/>
              </w:rPr>
              <w:t>）</w:t>
            </w:r>
          </w:p>
          <w:p>
            <w:pPr>
              <w:ind w:left="400"/>
              <w:rPr>
                <w:rFonts w:ascii="宋体" w:hAnsi="宋体" w:eastAsia="宋体"/>
                <w:szCs w:val="21"/>
              </w:rPr>
            </w:pPr>
          </w:p>
          <w:p>
            <w:pPr>
              <w:ind w:left="400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1" w:hRule="exact"/>
        </w:trPr>
        <w:tc>
          <w:tcPr>
            <w:tcW w:w="185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子活动实施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必要性</w:t>
            </w:r>
            <w:r>
              <w:rPr>
                <w:rFonts w:ascii="宋体" w:hAnsi="宋体" w:eastAsia="宋体"/>
                <w:szCs w:val="21"/>
              </w:rPr>
              <w:t>、</w:t>
            </w:r>
            <w:r>
              <w:rPr>
                <w:rFonts w:hint="eastAsia" w:ascii="宋体" w:hAnsi="宋体" w:eastAsia="宋体"/>
                <w:szCs w:val="21"/>
              </w:rPr>
              <w:t>可行性分析</w:t>
            </w:r>
          </w:p>
        </w:tc>
        <w:tc>
          <w:tcPr>
            <w:tcW w:w="6667" w:type="dxa"/>
            <w:gridSpan w:val="3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（说明1.子活动实施的立项依据；2</w:t>
            </w:r>
            <w:r>
              <w:rPr>
                <w:rFonts w:ascii="宋体" w:hAnsi="宋体" w:eastAsia="宋体"/>
                <w:szCs w:val="21"/>
              </w:rPr>
              <w:t>.</w:t>
            </w:r>
            <w:r>
              <w:rPr>
                <w:rFonts w:hint="eastAsia" w:ascii="宋体" w:hAnsi="宋体" w:eastAsia="宋体"/>
                <w:szCs w:val="21"/>
              </w:rPr>
              <w:t>子活动的主要工作思路与设想；3.子活动预算的合理性及可靠性分析）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exact"/>
        </w:trPr>
        <w:tc>
          <w:tcPr>
            <w:tcW w:w="185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子活动实施条件</w:t>
            </w:r>
          </w:p>
        </w:tc>
        <w:tc>
          <w:tcPr>
            <w:tcW w:w="6667" w:type="dxa"/>
            <w:gridSpan w:val="3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（主要说明子活动实施的人员条件、资金条件、基础条件等）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0" w:hRule="exact"/>
        </w:trPr>
        <w:tc>
          <w:tcPr>
            <w:tcW w:w="185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子活动实施主要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内容及相关预算</w:t>
            </w:r>
          </w:p>
        </w:tc>
        <w:tc>
          <w:tcPr>
            <w:tcW w:w="6667" w:type="dxa"/>
            <w:gridSpan w:val="3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（说明子活动需要开展工作的主要方面，并分项说明预算测算过程及总体预算）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6" w:hRule="exact"/>
        </w:trPr>
        <w:tc>
          <w:tcPr>
            <w:tcW w:w="185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子活动进度与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计划安排</w:t>
            </w:r>
          </w:p>
        </w:tc>
        <w:tc>
          <w:tcPr>
            <w:tcW w:w="6667" w:type="dxa"/>
            <w:gridSpan w:val="3"/>
          </w:tcPr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（分阶段说明子活动进度安排计划，并说明子活动实施期限）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5" w:hRule="exact"/>
        </w:trPr>
        <w:tc>
          <w:tcPr>
            <w:tcW w:w="185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子活动风险与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不确定性分析</w:t>
            </w:r>
          </w:p>
        </w:tc>
        <w:tc>
          <w:tcPr>
            <w:tcW w:w="6667" w:type="dxa"/>
            <w:gridSpan w:val="3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（子</w:t>
            </w:r>
            <w:r>
              <w:rPr>
                <w:rFonts w:ascii="宋体" w:hAnsi="宋体" w:eastAsia="宋体"/>
                <w:szCs w:val="21"/>
              </w:rPr>
              <w:t>活动</w:t>
            </w:r>
            <w:r>
              <w:rPr>
                <w:rFonts w:hint="eastAsia" w:ascii="宋体" w:hAnsi="宋体" w:eastAsia="宋体"/>
                <w:szCs w:val="21"/>
              </w:rPr>
              <w:t>实施存在的主要风险与不确定性分析；对风险的应对措施分析）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8" w:hRule="exact"/>
        </w:trPr>
        <w:tc>
          <w:tcPr>
            <w:tcW w:w="185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预期经济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社会效益</w:t>
            </w:r>
          </w:p>
        </w:tc>
        <w:tc>
          <w:tcPr>
            <w:tcW w:w="6667" w:type="dxa"/>
            <w:gridSpan w:val="3"/>
          </w:tcPr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（子</w:t>
            </w:r>
            <w:r>
              <w:rPr>
                <w:rFonts w:ascii="宋体" w:hAnsi="宋体" w:eastAsia="宋体"/>
                <w:szCs w:val="21"/>
              </w:rPr>
              <w:t>活动</w:t>
            </w:r>
            <w:r>
              <w:rPr>
                <w:rFonts w:hint="eastAsia" w:ascii="宋体" w:hAnsi="宋体" w:eastAsia="宋体"/>
                <w:szCs w:val="21"/>
              </w:rPr>
              <w:t>预期社会效益与经济效益分析与同类项目的对比分析；子</w:t>
            </w:r>
            <w:r>
              <w:rPr>
                <w:rFonts w:ascii="宋体" w:hAnsi="宋体" w:eastAsia="宋体"/>
                <w:szCs w:val="21"/>
              </w:rPr>
              <w:t>活动</w:t>
            </w:r>
            <w:r>
              <w:rPr>
                <w:rFonts w:hint="eastAsia" w:ascii="宋体" w:hAnsi="宋体" w:eastAsia="宋体"/>
                <w:szCs w:val="21"/>
              </w:rPr>
              <w:t>预期效益的持久性分析）</w:t>
            </w:r>
          </w:p>
        </w:tc>
      </w:tr>
    </w:tbl>
    <w:p>
      <w:pPr>
        <w:spacing w:before="156" w:beforeLines="50" w:after="156" w:afterLines="50"/>
        <w:jc w:val="center"/>
        <w:rPr>
          <w:rFonts w:ascii="宋体" w:hAnsi="宋体" w:eastAsia="宋体"/>
          <w:b/>
          <w:sz w:val="28"/>
          <w:szCs w:val="28"/>
        </w:rPr>
      </w:pPr>
    </w:p>
    <w:p>
      <w:pPr>
        <w:spacing w:before="156" w:beforeLines="50" w:after="156" w:afterLines="50"/>
        <w:jc w:val="center"/>
        <w:rPr>
          <w:rFonts w:ascii="宋体" w:hAnsi="宋体" w:eastAsia="宋体"/>
          <w:b/>
          <w:sz w:val="28"/>
          <w:szCs w:val="28"/>
        </w:rPr>
      </w:pPr>
    </w:p>
    <w:p>
      <w:pPr>
        <w:spacing w:before="156" w:beforeLines="50" w:after="156" w:afterLines="50"/>
        <w:jc w:val="center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子活动支出预算明细表</w:t>
      </w:r>
    </w:p>
    <w:p>
      <w:pPr>
        <w:spacing w:before="100" w:beforeAutospacing="1" w:after="156" w:afterLines="50"/>
        <w:jc w:val="right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 xml:space="preserve">                        单位：万元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540"/>
        <w:gridCol w:w="5203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648" w:type="dxa"/>
            <w:vMerge w:val="restart"/>
            <w:vAlign w:val="center"/>
          </w:tcPr>
          <w:p>
            <w:pPr>
              <w:spacing w:before="100" w:beforeAutospacing="1" w:after="156" w:afterLines="50"/>
              <w:jc w:val="center"/>
              <w:rPr>
                <w:rFonts w:ascii="宋体" w:hAnsi="宋体" w:eastAsia="宋体"/>
                <w:sz w:val="26"/>
                <w:szCs w:val="26"/>
              </w:rPr>
            </w:pPr>
            <w:r>
              <w:rPr>
                <w:rFonts w:hint="eastAsia" w:ascii="宋体" w:hAnsi="宋体" w:eastAsia="宋体"/>
                <w:sz w:val="26"/>
                <w:szCs w:val="26"/>
              </w:rPr>
              <w:t>子  活</w:t>
            </w:r>
            <w:r>
              <w:rPr>
                <w:rFonts w:ascii="宋体" w:hAnsi="宋体" w:eastAsia="宋体"/>
                <w:sz w:val="26"/>
                <w:szCs w:val="26"/>
              </w:rPr>
              <w:t>动</w:t>
            </w:r>
            <w:r>
              <w:rPr>
                <w:rFonts w:hint="eastAsia" w:ascii="宋体" w:hAnsi="宋体" w:eastAsia="宋体"/>
                <w:sz w:val="26"/>
                <w:szCs w:val="26"/>
              </w:rPr>
              <w:t>支出预算及测算依据</w:t>
            </w:r>
          </w:p>
        </w:tc>
        <w:tc>
          <w:tcPr>
            <w:tcW w:w="540" w:type="dxa"/>
            <w:vMerge w:val="restart"/>
            <w:vAlign w:val="center"/>
          </w:tcPr>
          <w:p>
            <w:pPr>
              <w:spacing w:before="100" w:beforeAutospacing="1" w:after="156" w:afterLines="5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子活</w:t>
            </w:r>
            <w:r>
              <w:rPr>
                <w:rFonts w:ascii="宋体" w:hAnsi="宋体" w:eastAsia="宋体"/>
                <w:szCs w:val="21"/>
              </w:rPr>
              <w:t>动</w:t>
            </w:r>
            <w:r>
              <w:rPr>
                <w:rFonts w:hint="eastAsia" w:ascii="宋体" w:hAnsi="宋体" w:eastAsia="宋体"/>
                <w:szCs w:val="21"/>
              </w:rPr>
              <w:t>支出明细预算</w:t>
            </w:r>
          </w:p>
        </w:tc>
        <w:tc>
          <w:tcPr>
            <w:tcW w:w="5203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明细支出项目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</w:tcPr>
          <w:p>
            <w:pPr>
              <w:spacing w:before="100" w:beforeAutospacing="1" w:after="156" w:afterLines="5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540" w:type="dxa"/>
            <w:vMerge w:val="continue"/>
          </w:tcPr>
          <w:p>
            <w:pPr>
              <w:spacing w:before="100" w:beforeAutospacing="1" w:after="156" w:afterLines="5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5203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合  计</w:t>
            </w:r>
          </w:p>
        </w:tc>
        <w:tc>
          <w:tcPr>
            <w:tcW w:w="2131" w:type="dxa"/>
            <w:vAlign w:val="center"/>
          </w:tcPr>
          <w:p>
            <w:pPr>
              <w:spacing w:before="100" w:beforeAutospacing="1" w:after="156" w:afterLines="50"/>
              <w:jc w:val="lef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8" w:type="dxa"/>
            <w:vMerge w:val="continue"/>
          </w:tcPr>
          <w:p>
            <w:pPr>
              <w:spacing w:before="100" w:beforeAutospacing="1" w:after="156" w:afterLines="5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540" w:type="dxa"/>
            <w:vMerge w:val="continue"/>
          </w:tcPr>
          <w:p>
            <w:pPr>
              <w:spacing w:before="100" w:beforeAutospacing="1" w:after="156" w:afterLines="5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5203" w:type="dxa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 w:cs="宋体"/>
                <w:color w:val="000000" w:themeColor="text1"/>
                <w:position w:val="-1"/>
                <w:szCs w:val="21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宋体" w:hAnsi="宋体" w:eastAsia="宋体" w:cs="宋体"/>
                <w:color w:val="000000" w:themeColor="text1"/>
                <w:position w:val="-1"/>
                <w:szCs w:val="21"/>
                <w14:textFill>
                  <w14:solidFill>
                    <w14:schemeClr w14:val="tx1"/>
                  </w14:solidFill>
                </w14:textFill>
              </w:rPr>
              <w:t>设备费</w:t>
            </w:r>
          </w:p>
        </w:tc>
        <w:tc>
          <w:tcPr>
            <w:tcW w:w="2131" w:type="dxa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648" w:type="dxa"/>
            <w:vMerge w:val="continue"/>
          </w:tcPr>
          <w:p>
            <w:pPr>
              <w:spacing w:before="100" w:beforeAutospacing="1" w:after="156" w:afterLines="5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540" w:type="dxa"/>
            <w:vMerge w:val="continue"/>
          </w:tcPr>
          <w:p>
            <w:pPr>
              <w:spacing w:before="100" w:beforeAutospacing="1" w:after="156" w:afterLines="5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5203" w:type="dxa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维修维护费</w:t>
            </w:r>
          </w:p>
        </w:tc>
        <w:tc>
          <w:tcPr>
            <w:tcW w:w="2131" w:type="dxa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</w:tcPr>
          <w:p>
            <w:pPr>
              <w:spacing w:before="100" w:beforeAutospacing="1" w:after="156" w:afterLines="5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540" w:type="dxa"/>
            <w:vMerge w:val="continue"/>
          </w:tcPr>
          <w:p>
            <w:pPr>
              <w:spacing w:before="100" w:beforeAutospacing="1" w:after="156" w:afterLines="5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5203" w:type="dxa"/>
          </w:tcPr>
          <w:p>
            <w:pPr>
              <w:spacing w:before="100" w:beforeAutospacing="1" w:after="156" w:afterLines="5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3.材料费</w:t>
            </w:r>
          </w:p>
        </w:tc>
        <w:tc>
          <w:tcPr>
            <w:tcW w:w="2131" w:type="dxa"/>
          </w:tcPr>
          <w:p>
            <w:pPr>
              <w:spacing w:before="100" w:beforeAutospacing="1" w:after="156" w:afterLines="50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</w:tcPr>
          <w:p>
            <w:pPr>
              <w:spacing w:before="100" w:beforeAutospacing="1" w:after="156" w:afterLines="5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540" w:type="dxa"/>
            <w:vMerge w:val="continue"/>
          </w:tcPr>
          <w:p>
            <w:pPr>
              <w:spacing w:before="100" w:beforeAutospacing="1" w:after="156" w:afterLines="5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5203" w:type="dxa"/>
          </w:tcPr>
          <w:p>
            <w:pPr>
              <w:spacing w:before="100" w:beforeAutospacing="1" w:after="156" w:afterLines="5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4....</w:t>
            </w:r>
          </w:p>
        </w:tc>
        <w:tc>
          <w:tcPr>
            <w:tcW w:w="2131" w:type="dxa"/>
          </w:tcPr>
          <w:p>
            <w:pPr>
              <w:spacing w:before="100" w:beforeAutospacing="1" w:after="156" w:afterLines="50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</w:tcPr>
          <w:p>
            <w:pPr>
              <w:spacing w:before="100" w:beforeAutospacing="1" w:after="156" w:afterLines="5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540" w:type="dxa"/>
            <w:vMerge w:val="continue"/>
          </w:tcPr>
          <w:p>
            <w:pPr>
              <w:spacing w:before="100" w:beforeAutospacing="1" w:after="156" w:afterLines="5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5203" w:type="dxa"/>
          </w:tcPr>
          <w:p>
            <w:pPr>
              <w:spacing w:before="100" w:beforeAutospacing="1" w:after="156" w:afterLines="5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5....</w:t>
            </w:r>
          </w:p>
        </w:tc>
        <w:tc>
          <w:tcPr>
            <w:tcW w:w="2131" w:type="dxa"/>
          </w:tcPr>
          <w:p>
            <w:pPr>
              <w:spacing w:before="100" w:beforeAutospacing="1" w:after="156" w:afterLines="50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</w:tcPr>
          <w:p>
            <w:pPr>
              <w:spacing w:before="100" w:beforeAutospacing="1" w:after="156" w:afterLines="5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540" w:type="dxa"/>
            <w:vMerge w:val="continue"/>
          </w:tcPr>
          <w:p>
            <w:pPr>
              <w:spacing w:before="100" w:beforeAutospacing="1" w:after="156" w:afterLines="5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5203" w:type="dxa"/>
          </w:tcPr>
          <w:p>
            <w:pPr>
              <w:spacing w:before="100" w:beforeAutospacing="1" w:after="156" w:afterLines="5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6....</w:t>
            </w:r>
          </w:p>
        </w:tc>
        <w:tc>
          <w:tcPr>
            <w:tcW w:w="2131" w:type="dxa"/>
          </w:tcPr>
          <w:p>
            <w:pPr>
              <w:spacing w:before="100" w:beforeAutospacing="1" w:after="156" w:afterLines="50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</w:tcPr>
          <w:p>
            <w:pPr>
              <w:spacing w:before="100" w:beforeAutospacing="1" w:after="156" w:afterLines="5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540" w:type="dxa"/>
            <w:vMerge w:val="continue"/>
          </w:tcPr>
          <w:p>
            <w:pPr>
              <w:spacing w:before="100" w:beforeAutospacing="1" w:after="156" w:afterLines="5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5203" w:type="dxa"/>
          </w:tcPr>
          <w:p>
            <w:pPr>
              <w:spacing w:before="100" w:beforeAutospacing="1" w:after="156" w:afterLines="5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7....</w:t>
            </w:r>
          </w:p>
        </w:tc>
        <w:tc>
          <w:tcPr>
            <w:tcW w:w="2131" w:type="dxa"/>
          </w:tcPr>
          <w:p>
            <w:pPr>
              <w:spacing w:before="100" w:beforeAutospacing="1" w:after="156" w:afterLines="50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7" w:hRule="atLeast"/>
        </w:trPr>
        <w:tc>
          <w:tcPr>
            <w:tcW w:w="648" w:type="dxa"/>
            <w:vMerge w:val="continue"/>
          </w:tcPr>
          <w:p>
            <w:pPr>
              <w:spacing w:before="100" w:beforeAutospacing="1" w:after="156" w:afterLines="5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before="100" w:beforeAutospacing="1" w:after="156" w:afterLines="5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测算依据及说明</w:t>
            </w:r>
          </w:p>
        </w:tc>
        <w:tc>
          <w:tcPr>
            <w:tcW w:w="7334" w:type="dxa"/>
            <w:gridSpan w:val="2"/>
          </w:tcPr>
          <w:p>
            <w:pPr>
              <w:spacing w:before="100" w:beforeAutospacing="1" w:after="156" w:afterLines="5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1.……</w:t>
            </w:r>
          </w:p>
          <w:p>
            <w:pPr>
              <w:spacing w:before="100" w:beforeAutospacing="1" w:after="156" w:afterLines="5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2.……</w:t>
            </w:r>
          </w:p>
          <w:p>
            <w:pPr>
              <w:spacing w:before="100" w:beforeAutospacing="1" w:after="156" w:afterLines="5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3.……</w:t>
            </w:r>
          </w:p>
          <w:p>
            <w:pPr>
              <w:tabs>
                <w:tab w:val="left" w:pos="1791"/>
              </w:tabs>
              <w:rPr>
                <w:rFonts w:ascii="宋体" w:hAnsi="宋体" w:eastAsia="宋体"/>
                <w:szCs w:val="21"/>
              </w:rPr>
            </w:pPr>
          </w:p>
          <w:p>
            <w:pPr>
              <w:tabs>
                <w:tab w:val="left" w:pos="1791"/>
              </w:tabs>
              <w:rPr>
                <w:rFonts w:ascii="宋体" w:hAnsi="宋体" w:eastAsia="宋体"/>
                <w:szCs w:val="21"/>
              </w:rPr>
            </w:pPr>
          </w:p>
          <w:p>
            <w:pPr>
              <w:tabs>
                <w:tab w:val="left" w:pos="1791"/>
              </w:tabs>
              <w:rPr>
                <w:rFonts w:ascii="宋体" w:hAnsi="宋体" w:eastAsia="宋体"/>
                <w:szCs w:val="21"/>
              </w:rPr>
            </w:pPr>
          </w:p>
        </w:tc>
      </w:tr>
    </w:tbl>
    <w:p>
      <w:pPr>
        <w:widowControl/>
      </w:pPr>
    </w:p>
    <w:p>
      <w:pPr>
        <w:pStyle w:val="2"/>
        <w:autoSpaceDE w:val="0"/>
        <w:autoSpaceDN w:val="0"/>
        <w:spacing w:before="66" w:line="500" w:lineRule="exact"/>
        <w:ind w:left="0" w:right="216"/>
        <w:jc w:val="center"/>
        <w:rPr>
          <w:rFonts w:ascii="仿宋_GB2312" w:hAnsi="仿宋_GB2312" w:eastAsia="仿宋_GB2312" w:cs="仿宋_GB2312"/>
          <w:sz w:val="28"/>
          <w:szCs w:val="28"/>
          <w:lang w:val="en-US"/>
        </w:rPr>
      </w:pPr>
    </w:p>
    <w:p>
      <w:pPr>
        <w:pStyle w:val="2"/>
        <w:autoSpaceDE w:val="0"/>
        <w:autoSpaceDN w:val="0"/>
        <w:spacing w:before="66" w:line="500" w:lineRule="exact"/>
        <w:ind w:left="0" w:right="216"/>
        <w:jc w:val="center"/>
        <w:rPr>
          <w:rFonts w:ascii="仿宋_GB2312" w:hAnsi="仿宋_GB2312" w:eastAsia="仿宋_GB2312" w:cs="仿宋_GB2312"/>
          <w:sz w:val="28"/>
          <w:szCs w:val="28"/>
          <w:lang w:val="en-US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c5NzQ2ZjVmOTIzYTRmMTJhNzBmMThkNWVjZjhkZGQifQ=="/>
  </w:docVars>
  <w:rsids>
    <w:rsidRoot w:val="397B2089"/>
    <w:rsid w:val="00190C79"/>
    <w:rsid w:val="00556BF8"/>
    <w:rsid w:val="006E5D7C"/>
    <w:rsid w:val="00835439"/>
    <w:rsid w:val="06712BB6"/>
    <w:rsid w:val="0A05687F"/>
    <w:rsid w:val="21003FC5"/>
    <w:rsid w:val="258755FA"/>
    <w:rsid w:val="397B2089"/>
    <w:rsid w:val="3DBC60F9"/>
    <w:rsid w:val="582A46B6"/>
    <w:rsid w:val="615E6B20"/>
    <w:rsid w:val="6B58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61"/>
      <w:ind w:left="120"/>
    </w:pPr>
    <w:rPr>
      <w:rFonts w:ascii="宋体" w:hAnsi="宋体" w:eastAsia="宋体" w:cs="宋体"/>
      <w:sz w:val="24"/>
      <w:lang w:val="zh-CN" w:bidi="zh-CN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2371</Words>
  <Characters>2530</Characters>
  <Lines>22</Lines>
  <Paragraphs>6</Paragraphs>
  <TotalTime>1</TotalTime>
  <ScaleCrop>false</ScaleCrop>
  <LinksUpToDate>false</LinksUpToDate>
  <CharactersWithSpaces>2687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2023-05-18T10:12:00Z</dcterms:created>
  <dc:creator>WPS_1455600504</dc:creator>
  <cp:lastModifiedBy>端 端</cp:lastModifiedBy>
  <cp:lastPrinted>2023-05-18T07:22:00Z</cp:lastPrinted>
  <dcterms:modified xsi:type="dcterms:W3CDTF">2023-05-19T08:45:23Z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1F19B9A1D2FD4E18A35125993054A072_11</vt:lpwstr>
  </property>
</Properties>
</file>